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9" w:type="dxa"/>
        <w:tblLayout w:type="fixed"/>
        <w:tblLook w:val="04A0" w:firstRow="1" w:lastRow="0" w:firstColumn="1" w:lastColumn="0" w:noHBand="0" w:noVBand="1"/>
      </w:tblPr>
      <w:tblGrid>
        <w:gridCol w:w="4678"/>
        <w:gridCol w:w="4111"/>
      </w:tblGrid>
      <w:tr w:rsidR="00744AC3" w:rsidRPr="005C1C4E" w14:paraId="5F2B6791" w14:textId="77777777" w:rsidTr="00744AC3">
        <w:tc>
          <w:tcPr>
            <w:tcW w:w="4678" w:type="dxa"/>
            <w:hideMark/>
          </w:tcPr>
          <w:p w14:paraId="6792897E" w14:textId="77777777" w:rsidR="00744AC3" w:rsidRPr="00805A72" w:rsidRDefault="00744AC3" w:rsidP="00F850FD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4111" w:type="dxa"/>
            <w:hideMark/>
          </w:tcPr>
          <w:p w14:paraId="7BB19451" w14:textId="77777777" w:rsidR="00744AC3" w:rsidRPr="00746FF2" w:rsidRDefault="00744AC3" w:rsidP="00F850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746FF2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>УТВЕРЖДЕНА</w:t>
            </w:r>
          </w:p>
          <w:p w14:paraId="6693D6B1" w14:textId="77777777" w:rsidR="00744AC3" w:rsidRPr="00746FF2" w:rsidRDefault="00744AC3" w:rsidP="00F850F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6F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Приказом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746F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редседателя </w:t>
            </w:r>
          </w:p>
          <w:p w14:paraId="50A03A76" w14:textId="028781C2" w:rsidR="00744AC3" w:rsidRPr="00D1346F" w:rsidRDefault="00744AC3" w:rsidP="00F850F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РГУ </w:t>
            </w:r>
            <w:r w:rsidRPr="00D134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«Комитет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м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едицинского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 фармацевтического ко</w:t>
            </w:r>
            <w:r w:rsidRPr="00D134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нтроля Министерства здравоохранения Республики Казахстан»</w:t>
            </w:r>
          </w:p>
          <w:p w14:paraId="2DEFABDE" w14:textId="35FB5A5D" w:rsidR="00744AC3" w:rsidRPr="00746FF2" w:rsidRDefault="00BB2A18" w:rsidP="00F850F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«___</w:t>
            </w:r>
            <w:r w:rsidR="00744AC3" w:rsidRPr="00746F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4AC3" w:rsidRPr="00746F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____________20</w:t>
            </w:r>
            <w:r w:rsidR="00F850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44AC3" w:rsidRPr="00746F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="00F850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4AC3" w:rsidRPr="00746F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  <w:p w14:paraId="5EA125CF" w14:textId="77777777" w:rsidR="00744AC3" w:rsidRPr="00746FF2" w:rsidRDefault="00744AC3" w:rsidP="00F850FD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r w:rsidRPr="00746FF2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№ ______________</w:t>
            </w:r>
          </w:p>
        </w:tc>
      </w:tr>
      <w:tr w:rsidR="00744AC3" w:rsidRPr="005C1C4E" w14:paraId="0BDB68A6" w14:textId="77777777" w:rsidTr="00744AC3">
        <w:tc>
          <w:tcPr>
            <w:tcW w:w="4678" w:type="dxa"/>
          </w:tcPr>
          <w:p w14:paraId="1F3116F8" w14:textId="77777777" w:rsidR="00744AC3" w:rsidRPr="00746FF2" w:rsidRDefault="00744AC3" w:rsidP="00F850FD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14:paraId="394AF426" w14:textId="77777777" w:rsidR="00744AC3" w:rsidRPr="00746FF2" w:rsidRDefault="00744AC3" w:rsidP="00F850FD">
            <w:pPr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</w:tbl>
    <w:p w14:paraId="02843F62" w14:textId="77777777" w:rsidR="00F850FD" w:rsidRDefault="00D76048" w:rsidP="00F850F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Инструкция по медицинскому применению</w:t>
      </w:r>
      <w:r w:rsidR="00F850F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4BC012E5" w14:textId="26804F25" w:rsidR="00D76048" w:rsidRPr="00844CE8" w:rsidRDefault="00D76048" w:rsidP="00F850F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лекарственного </w:t>
      </w:r>
      <w:r w:rsidR="007D0E84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препарата</w:t>
      </w:r>
      <w:r w:rsidR="00AE7922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2C1660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E7922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исток-вкладыш)</w:t>
      </w:r>
    </w:p>
    <w:p w14:paraId="22A1C884" w14:textId="77777777" w:rsidR="002C76D7" w:rsidRDefault="002C76D7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3899804" w14:textId="77777777" w:rsidR="00744AC3" w:rsidRPr="00E365DE" w:rsidRDefault="00744AC3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12"/>
          <w:szCs w:val="12"/>
          <w:lang w:eastAsia="ru-RU"/>
        </w:rPr>
      </w:pPr>
    </w:p>
    <w:p w14:paraId="47DD797A" w14:textId="77777777" w:rsidR="002C76D7" w:rsidRPr="00844CE8" w:rsidRDefault="00D76048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Торговое </w:t>
      </w:r>
      <w:r w:rsidR="00E55D6C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</w:t>
      </w:r>
      <w:r w:rsidR="00AE7922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68A0E2C" w14:textId="77777777" w:rsidR="00277C22" w:rsidRDefault="00EE028E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Гидроферол</w:t>
      </w:r>
      <w:proofErr w:type="spellEnd"/>
    </w:p>
    <w:p w14:paraId="494E6116" w14:textId="77777777" w:rsidR="00EE028E" w:rsidRDefault="00EE028E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EEF5E2F" w14:textId="77777777" w:rsidR="002C76D7" w:rsidRPr="00844CE8" w:rsidRDefault="00AE7922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Международное непатентованное название</w:t>
      </w:r>
    </w:p>
    <w:p w14:paraId="1FFD1F12" w14:textId="77777777" w:rsidR="007C44D2" w:rsidRDefault="00EE028E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Кальцифедиол</w:t>
      </w:r>
      <w:proofErr w:type="spellEnd"/>
    </w:p>
    <w:p w14:paraId="4C9DC1E4" w14:textId="77777777" w:rsidR="00D1346F" w:rsidRPr="007C44D2" w:rsidRDefault="00D1346F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242530" w14:textId="77777777" w:rsidR="00D76048" w:rsidRPr="00844CE8" w:rsidRDefault="002C76D7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Лекарственная форма, </w:t>
      </w:r>
      <w:r w:rsidR="00AE7922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дозировка  </w:t>
      </w:r>
    </w:p>
    <w:p w14:paraId="14B388B8" w14:textId="630DDA53" w:rsidR="00632E2A" w:rsidRPr="00A961E3" w:rsidRDefault="00EE028E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EE028E">
        <w:rPr>
          <w:rFonts w:ascii="Times New Roman" w:eastAsia="Times New Roman" w:hAnsi="Times New Roman"/>
          <w:sz w:val="28"/>
          <w:szCs w:val="28"/>
          <w:lang w:eastAsia="ru-RU"/>
        </w:rPr>
        <w:t>апсулы</w:t>
      </w:r>
      <w:r w:rsidR="00F93634">
        <w:rPr>
          <w:rFonts w:ascii="Times New Roman" w:eastAsia="Times New Roman" w:hAnsi="Times New Roman"/>
          <w:sz w:val="28"/>
          <w:szCs w:val="28"/>
          <w:lang w:eastAsia="ru-RU"/>
        </w:rPr>
        <w:t xml:space="preserve"> мягкие</w:t>
      </w:r>
      <w:r w:rsidR="00EB0CFB" w:rsidRPr="00A961E3">
        <w:rPr>
          <w:rFonts w:ascii="Arial" w:hAnsi="Arial" w:cs="Arial"/>
          <w:sz w:val="23"/>
          <w:szCs w:val="23"/>
        </w:rPr>
        <w:t xml:space="preserve"> </w:t>
      </w:r>
      <w:r w:rsidR="00EB0CFB" w:rsidRPr="00A961E3">
        <w:rPr>
          <w:rFonts w:ascii="Times New Roman" w:eastAsia="Times New Roman" w:hAnsi="Times New Roman"/>
          <w:sz w:val="28"/>
          <w:szCs w:val="28"/>
          <w:lang w:eastAsia="ru-RU"/>
        </w:rPr>
        <w:t>0.266 мг</w:t>
      </w:r>
    </w:p>
    <w:p w14:paraId="4690ABFF" w14:textId="77777777" w:rsidR="00464CAA" w:rsidRDefault="00464CAA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233579" w14:textId="7F78C2F2" w:rsidR="00632E2A" w:rsidRPr="008563DF" w:rsidRDefault="00632E2A" w:rsidP="00F850FD">
      <w:pPr>
        <w:keepNext/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632E2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Фармакотерапевтическая</w:t>
      </w:r>
      <w:proofErr w:type="spellEnd"/>
      <w:r w:rsidRPr="00632E2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632E2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группа</w:t>
      </w:r>
      <w:proofErr w:type="spellEnd"/>
      <w:r w:rsidR="008563D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</w:p>
    <w:p w14:paraId="5CC722A5" w14:textId="56DBB3DA" w:rsidR="00464CAA" w:rsidRPr="00EB0CFB" w:rsidRDefault="008563DF" w:rsidP="00F850FD">
      <w:pPr>
        <w:keepNext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961E3">
        <w:rPr>
          <w:rFonts w:ascii="Times New Roman" w:eastAsia="Times New Roman" w:hAnsi="Times New Roman"/>
          <w:bCs/>
          <w:sz w:val="28"/>
          <w:szCs w:val="28"/>
          <w:lang w:eastAsia="ru-RU"/>
        </w:rPr>
        <w:t>Пищеварительный тракт и обмен веществ.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64CAA" w:rsidRPr="00EB0CF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Витамины. Витамины А и Д и их комбинация. Витамин Д и его производные. </w:t>
      </w:r>
      <w:proofErr w:type="spellStart"/>
      <w:r w:rsidR="00464CAA" w:rsidRPr="00EB0CFB">
        <w:rPr>
          <w:rFonts w:ascii="Times New Roman" w:eastAsia="Times New Roman" w:hAnsi="Times New Roman"/>
          <w:bCs/>
          <w:sz w:val="28"/>
          <w:szCs w:val="28"/>
          <w:lang w:eastAsia="ru-RU"/>
        </w:rPr>
        <w:t>Кальци</w:t>
      </w:r>
      <w:r w:rsidR="00464CAA" w:rsidRPr="00A961E3">
        <w:rPr>
          <w:rFonts w:ascii="Times New Roman" w:eastAsia="Times New Roman" w:hAnsi="Times New Roman"/>
          <w:bCs/>
          <w:sz w:val="28"/>
          <w:szCs w:val="28"/>
          <w:lang w:eastAsia="ru-RU"/>
        </w:rPr>
        <w:t>фе</w:t>
      </w:r>
      <w:r w:rsidR="00663E1B" w:rsidRPr="00A961E3">
        <w:rPr>
          <w:rFonts w:ascii="Times New Roman" w:eastAsia="Times New Roman" w:hAnsi="Times New Roman"/>
          <w:bCs/>
          <w:sz w:val="28"/>
          <w:szCs w:val="28"/>
          <w:lang w:eastAsia="ru-RU"/>
        </w:rPr>
        <w:t>диол</w:t>
      </w:r>
      <w:proofErr w:type="spellEnd"/>
      <w:r w:rsidR="00464CAA" w:rsidRPr="00A961E3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E88FCEA" w14:textId="3C4C5F56" w:rsidR="00464CAA" w:rsidRPr="00EB0CFB" w:rsidRDefault="00E90FCC" w:rsidP="00F850FD">
      <w:pPr>
        <w:keepNext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Код АТХ А11СС06</w:t>
      </w:r>
    </w:p>
    <w:p w14:paraId="485B8934" w14:textId="77777777" w:rsidR="002C76D7" w:rsidRPr="00844CE8" w:rsidRDefault="002C76D7" w:rsidP="00F850FD">
      <w:pPr>
        <w:keepNext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AAB74D1" w14:textId="77777777" w:rsidR="002C76D7" w:rsidRPr="00844CE8" w:rsidRDefault="005444B2" w:rsidP="00F850FD">
      <w:pPr>
        <w:keepNext/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32"/>
          <w:szCs w:val="32"/>
          <w:highlight w:val="cyan"/>
        </w:rPr>
      </w:pPr>
      <w:r w:rsidRPr="00844C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Показания к применению</w:t>
      </w:r>
      <w:r w:rsidR="002C76D7" w:rsidRPr="00844CE8">
        <w:rPr>
          <w:rFonts w:ascii="Times New Roman" w:hAnsi="Times New Roman"/>
          <w:color w:val="000000"/>
          <w:sz w:val="32"/>
          <w:szCs w:val="32"/>
          <w:highlight w:val="cyan"/>
        </w:rPr>
        <w:t xml:space="preserve"> </w:t>
      </w:r>
    </w:p>
    <w:p w14:paraId="46131A36" w14:textId="77777777" w:rsidR="00304AFC" w:rsidRPr="00304AFC" w:rsidRDefault="00304AFC" w:rsidP="00AD7C0B">
      <w:pPr>
        <w:pStyle w:val="ad"/>
        <w:tabs>
          <w:tab w:val="left" w:pos="284"/>
        </w:tabs>
        <w:spacing w:after="60"/>
        <w:rPr>
          <w:rFonts w:ascii="Times New Roman" w:hAnsi="Times New Roman"/>
          <w:sz w:val="28"/>
          <w:szCs w:val="28"/>
        </w:rPr>
      </w:pPr>
      <w:r w:rsidRPr="00304AFC">
        <w:rPr>
          <w:rFonts w:ascii="Times New Roman" w:hAnsi="Times New Roman"/>
          <w:sz w:val="28"/>
          <w:szCs w:val="28"/>
        </w:rPr>
        <w:t>Лечение дефицита витамина D (т.е. уровень 25-OH-холекальциферола &lt;25 </w:t>
      </w:r>
      <w:proofErr w:type="spellStart"/>
      <w:r w:rsidRPr="00304AFC">
        <w:rPr>
          <w:rFonts w:ascii="Times New Roman" w:hAnsi="Times New Roman"/>
          <w:sz w:val="28"/>
          <w:szCs w:val="28"/>
        </w:rPr>
        <w:t>нмоль</w:t>
      </w:r>
      <w:proofErr w:type="spellEnd"/>
      <w:r w:rsidRPr="00304AFC">
        <w:rPr>
          <w:rFonts w:ascii="Times New Roman" w:hAnsi="Times New Roman"/>
          <w:sz w:val="28"/>
          <w:szCs w:val="28"/>
        </w:rPr>
        <w:t xml:space="preserve">/л) у взрослых. </w:t>
      </w:r>
    </w:p>
    <w:p w14:paraId="65E162A1" w14:textId="189F4E7A" w:rsidR="00304AFC" w:rsidRPr="00304AFC" w:rsidRDefault="00304AFC" w:rsidP="00AD7C0B">
      <w:pPr>
        <w:pStyle w:val="ad"/>
        <w:tabs>
          <w:tab w:val="left" w:pos="284"/>
        </w:tabs>
        <w:spacing w:after="60"/>
        <w:rPr>
          <w:rFonts w:ascii="Times New Roman" w:hAnsi="Times New Roman"/>
          <w:sz w:val="28"/>
          <w:szCs w:val="28"/>
        </w:rPr>
      </w:pPr>
      <w:r w:rsidRPr="00304AFC">
        <w:rPr>
          <w:rFonts w:ascii="Times New Roman" w:hAnsi="Times New Roman"/>
          <w:sz w:val="28"/>
          <w:szCs w:val="28"/>
        </w:rPr>
        <w:t xml:space="preserve">Профилактика дефицита витамина D у взрослых с установленными рисками, например, у пациентов с синдромом </w:t>
      </w:r>
      <w:proofErr w:type="spellStart"/>
      <w:r w:rsidRPr="00304AFC">
        <w:rPr>
          <w:rFonts w:ascii="Times New Roman" w:hAnsi="Times New Roman"/>
          <w:sz w:val="28"/>
          <w:szCs w:val="28"/>
        </w:rPr>
        <w:t>мальабсорбции</w:t>
      </w:r>
      <w:proofErr w:type="spellEnd"/>
      <w:r w:rsidRPr="00304AFC">
        <w:rPr>
          <w:rFonts w:ascii="Times New Roman" w:hAnsi="Times New Roman"/>
          <w:sz w:val="28"/>
          <w:szCs w:val="28"/>
        </w:rPr>
        <w:t xml:space="preserve">, хронической болезнью почек с минерально-костными нарушениями </w:t>
      </w:r>
      <w:r w:rsidR="00AD7C0B">
        <w:rPr>
          <w:rFonts w:ascii="Times New Roman" w:hAnsi="Times New Roman"/>
          <w:sz w:val="28"/>
          <w:szCs w:val="28"/>
        </w:rPr>
        <w:t xml:space="preserve"> </w:t>
      </w:r>
      <w:r w:rsidRPr="00304AFC">
        <w:rPr>
          <w:rFonts w:ascii="Times New Roman" w:hAnsi="Times New Roman"/>
          <w:sz w:val="28"/>
          <w:szCs w:val="28"/>
        </w:rPr>
        <w:t>(ХБП-МКН) или другими установленными рисками.</w:t>
      </w:r>
    </w:p>
    <w:p w14:paraId="1291B29A" w14:textId="77777777" w:rsidR="00304AFC" w:rsidRPr="00304AFC" w:rsidRDefault="00304AFC" w:rsidP="00AD7C0B">
      <w:pPr>
        <w:pStyle w:val="ad"/>
        <w:tabs>
          <w:tab w:val="left" w:pos="284"/>
        </w:tabs>
        <w:spacing w:after="60"/>
        <w:rPr>
          <w:rFonts w:ascii="Times New Roman" w:hAnsi="Times New Roman"/>
          <w:sz w:val="28"/>
          <w:szCs w:val="28"/>
        </w:rPr>
      </w:pPr>
      <w:r w:rsidRPr="00304AFC">
        <w:rPr>
          <w:rFonts w:ascii="Times New Roman" w:hAnsi="Times New Roman"/>
          <w:sz w:val="28"/>
          <w:szCs w:val="28"/>
        </w:rPr>
        <w:t>В качестве дополнения к специфической терапии остеопороза у пациентов с дефицитом витамина D или риском его недостаточности.</w:t>
      </w:r>
    </w:p>
    <w:p w14:paraId="0ADC177A" w14:textId="77777777" w:rsidR="007C44D2" w:rsidRPr="00277C22" w:rsidRDefault="007C44D2" w:rsidP="00F850FD">
      <w:pPr>
        <w:keepNext/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387D646F" w14:textId="77777777" w:rsidR="00DB406A" w:rsidRPr="00844CE8" w:rsidRDefault="00DB406A" w:rsidP="00F850F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сведений, н</w:t>
      </w:r>
      <w:r w:rsidR="00844CE8">
        <w:rPr>
          <w:rFonts w:ascii="Times New Roman" w:eastAsia="Times New Roman" w:hAnsi="Times New Roman"/>
          <w:b/>
          <w:sz w:val="28"/>
          <w:szCs w:val="28"/>
          <w:lang w:eastAsia="ru-RU"/>
        </w:rPr>
        <w:t>еобходимых до начала применения</w:t>
      </w:r>
    </w:p>
    <w:p w14:paraId="3D82CA3F" w14:textId="77777777" w:rsidR="007D0E84" w:rsidRPr="00844CE8" w:rsidRDefault="007D0E84" w:rsidP="00F850FD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Противопоказания</w:t>
      </w:r>
    </w:p>
    <w:p w14:paraId="5D959725" w14:textId="77777777" w:rsidR="00271B94" w:rsidRPr="00271B94" w:rsidRDefault="00A352D8" w:rsidP="00F850FD">
      <w:pPr>
        <w:pStyle w:val="ad"/>
        <w:numPr>
          <w:ilvl w:val="0"/>
          <w:numId w:val="33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71B94" w:rsidRPr="00271B94">
        <w:rPr>
          <w:rFonts w:ascii="Times New Roman" w:hAnsi="Times New Roman"/>
          <w:sz w:val="28"/>
          <w:szCs w:val="28"/>
        </w:rPr>
        <w:t>иперчувствительность к активному веществу или к любому из вспомогательных веществ, перечисленных в разделе 6.1.</w:t>
      </w:r>
    </w:p>
    <w:p w14:paraId="4ED4527D" w14:textId="23B07978" w:rsidR="00271B94" w:rsidRPr="00271B94" w:rsidRDefault="00A352D8" w:rsidP="00F850FD">
      <w:pPr>
        <w:pStyle w:val="ad"/>
        <w:numPr>
          <w:ilvl w:val="0"/>
          <w:numId w:val="33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</w:t>
      </w:r>
      <w:r w:rsidR="00271B94" w:rsidRPr="00271B94">
        <w:rPr>
          <w:rFonts w:ascii="Times New Roman" w:hAnsi="Times New Roman"/>
          <w:sz w:val="28"/>
          <w:szCs w:val="28"/>
        </w:rPr>
        <w:t>иперкальциемия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(кальций сыворотки крови &gt;10,5 мг/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дл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гиперкальциурия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(повышенная экскреция кальция с мочой)</w:t>
      </w:r>
    </w:p>
    <w:p w14:paraId="426D5C67" w14:textId="77777777" w:rsidR="00271B94" w:rsidRPr="00271B94" w:rsidRDefault="00A352D8" w:rsidP="00F850FD">
      <w:pPr>
        <w:pStyle w:val="ad"/>
        <w:numPr>
          <w:ilvl w:val="0"/>
          <w:numId w:val="33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к</w:t>
      </w:r>
      <w:r w:rsidR="00271B94" w:rsidRPr="00271B94">
        <w:rPr>
          <w:rFonts w:ascii="Times New Roman" w:hAnsi="Times New Roman"/>
          <w:sz w:val="28"/>
          <w:szCs w:val="28"/>
        </w:rPr>
        <w:t xml:space="preserve">альциевый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литиаз</w:t>
      </w:r>
      <w:proofErr w:type="spellEnd"/>
    </w:p>
    <w:p w14:paraId="787EB0D5" w14:textId="2CDB6DEF" w:rsidR="00271B94" w:rsidRPr="00E4661C" w:rsidRDefault="00A352D8" w:rsidP="00F850FD">
      <w:pPr>
        <w:pStyle w:val="ad"/>
        <w:numPr>
          <w:ilvl w:val="0"/>
          <w:numId w:val="33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</w:t>
      </w:r>
      <w:r w:rsidR="00E4661C">
        <w:rPr>
          <w:rFonts w:ascii="Times New Roman" w:hAnsi="Times New Roman"/>
          <w:sz w:val="28"/>
          <w:szCs w:val="28"/>
        </w:rPr>
        <w:t>ипервитаминоз D</w:t>
      </w:r>
    </w:p>
    <w:p w14:paraId="275617CA" w14:textId="7D5554D2" w:rsidR="00E4661C" w:rsidRPr="00E4661C" w:rsidRDefault="00E4661C" w:rsidP="00F850FD">
      <w:pPr>
        <w:pStyle w:val="ac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Times New Roman" w:hAnsi="Times New Roman"/>
          <w:sz w:val="28"/>
          <w:szCs w:val="28"/>
        </w:rPr>
      </w:pPr>
      <w:r w:rsidRPr="00E4661C">
        <w:rPr>
          <w:rFonts w:ascii="Times New Roman" w:hAnsi="Times New Roman"/>
          <w:sz w:val="28"/>
          <w:szCs w:val="28"/>
        </w:rPr>
        <w:lastRenderedPageBreak/>
        <w:t xml:space="preserve">детский и подростковый возраст до 18 лет </w:t>
      </w:r>
    </w:p>
    <w:p w14:paraId="1A8713A1" w14:textId="77777777" w:rsidR="00F850FD" w:rsidRPr="00F850FD" w:rsidRDefault="00F850FD" w:rsidP="00F850FD">
      <w:pPr>
        <w:spacing w:after="0" w:line="240" w:lineRule="auto"/>
        <w:rPr>
          <w:rFonts w:ascii="Times New Roman" w:eastAsia="Times New Roman" w:hAnsi="Times New Roman"/>
          <w:b/>
          <w:i/>
          <w:sz w:val="12"/>
          <w:szCs w:val="12"/>
          <w:lang w:eastAsia="ru-RU"/>
        </w:rPr>
      </w:pPr>
    </w:p>
    <w:p w14:paraId="0E3C06DE" w14:textId="77777777" w:rsidR="00C75ED7" w:rsidRPr="00844CE8" w:rsidRDefault="00C75ED7" w:rsidP="00C75ED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Необходимые меры предосторожности при применении</w:t>
      </w:r>
    </w:p>
    <w:p w14:paraId="3B35268E" w14:textId="77777777" w:rsidR="00C75ED7" w:rsidRPr="00C75ED7" w:rsidRDefault="00C75ED7" w:rsidP="00C75ED7">
      <w:pPr>
        <w:pStyle w:val="ac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C75ED7">
        <w:rPr>
          <w:rFonts w:ascii="Times New Roman" w:hAnsi="Times New Roman"/>
          <w:i/>
          <w:sz w:val="28"/>
          <w:szCs w:val="28"/>
        </w:rPr>
        <w:t>Гиперкальциемия</w:t>
      </w:r>
      <w:proofErr w:type="spellEnd"/>
      <w:r w:rsidRPr="00C75ED7">
        <w:rPr>
          <w:rFonts w:ascii="Times New Roman" w:hAnsi="Times New Roman"/>
          <w:i/>
          <w:sz w:val="28"/>
          <w:szCs w:val="28"/>
        </w:rPr>
        <w:t xml:space="preserve"> и </w:t>
      </w:r>
      <w:proofErr w:type="spellStart"/>
      <w:r w:rsidRPr="00C75ED7">
        <w:rPr>
          <w:rFonts w:ascii="Times New Roman" w:hAnsi="Times New Roman"/>
          <w:i/>
          <w:sz w:val="28"/>
          <w:szCs w:val="28"/>
        </w:rPr>
        <w:t>гиперфосфатемия</w:t>
      </w:r>
      <w:proofErr w:type="spellEnd"/>
    </w:p>
    <w:p w14:paraId="0114F1E7" w14:textId="77777777" w:rsidR="00C75ED7" w:rsidRPr="00C75ED7" w:rsidRDefault="00C75ED7" w:rsidP="00C75ED7">
      <w:pPr>
        <w:pStyle w:val="Default"/>
        <w:jc w:val="both"/>
        <w:rPr>
          <w:sz w:val="28"/>
          <w:szCs w:val="28"/>
        </w:rPr>
      </w:pPr>
      <w:r w:rsidRPr="00C75ED7">
        <w:rPr>
          <w:sz w:val="28"/>
          <w:szCs w:val="28"/>
        </w:rPr>
        <w:t xml:space="preserve">Уровни 25-OH-холекальциферола в сыворотке крови показывают статус витамина D у пациента. Однако для получения надлежащего клинического ответа на пероральный прием </w:t>
      </w:r>
      <w:proofErr w:type="spellStart"/>
      <w:r w:rsidRPr="00C75ED7">
        <w:rPr>
          <w:sz w:val="28"/>
          <w:szCs w:val="28"/>
        </w:rPr>
        <w:t>кальцифедиола</w:t>
      </w:r>
      <w:proofErr w:type="spellEnd"/>
      <w:r w:rsidRPr="00C75ED7">
        <w:rPr>
          <w:sz w:val="28"/>
          <w:szCs w:val="28"/>
        </w:rPr>
        <w:t xml:space="preserve"> также необходимо соответствующее потребление кальция с пищей. Поэтому с целью контроля терапевтического эффекта необходимо проводить мониторинг за следующими параметрами, в дополнении к определению уровня 25-OH </w:t>
      </w:r>
      <w:proofErr w:type="spellStart"/>
      <w:r w:rsidRPr="00C75ED7">
        <w:rPr>
          <w:sz w:val="28"/>
          <w:szCs w:val="28"/>
        </w:rPr>
        <w:t>холекальциферола</w:t>
      </w:r>
      <w:proofErr w:type="spellEnd"/>
      <w:r w:rsidRPr="00C75ED7">
        <w:rPr>
          <w:sz w:val="28"/>
          <w:szCs w:val="28"/>
        </w:rPr>
        <w:t xml:space="preserve"> в сыворотке крови: кальций, фосфор и щелочная фосфатаза в сыворотке крови, а также кальций и фосфор в моче в течение 24 часов. Обычно перед возникновением </w:t>
      </w:r>
      <w:proofErr w:type="spellStart"/>
      <w:r w:rsidRPr="00C75ED7">
        <w:rPr>
          <w:sz w:val="28"/>
          <w:szCs w:val="28"/>
        </w:rPr>
        <w:t>гиперкальциемии</w:t>
      </w:r>
      <w:proofErr w:type="spellEnd"/>
      <w:r w:rsidRPr="00C75ED7">
        <w:rPr>
          <w:sz w:val="28"/>
          <w:szCs w:val="28"/>
        </w:rPr>
        <w:t xml:space="preserve"> наблюдается снижение уровня щелочной фосфатазы в сыворотке крови. После стабилизации параметров и нахождении пациента на поддерживающей терапии, вышеупомянутые анализы должны проводиться регулярно, особенно это касается определения уровней 25-OH-кальциферола и кальция в сыворотке крови.</w:t>
      </w:r>
    </w:p>
    <w:p w14:paraId="1B90D601" w14:textId="3EF7ADCB" w:rsidR="00C75ED7" w:rsidRPr="00C75ED7" w:rsidRDefault="00C75ED7" w:rsidP="00C75ED7">
      <w:pPr>
        <w:pStyle w:val="Default"/>
        <w:jc w:val="both"/>
        <w:rPr>
          <w:i/>
          <w:sz w:val="28"/>
          <w:szCs w:val="28"/>
        </w:rPr>
      </w:pPr>
      <w:r w:rsidRPr="00C75ED7">
        <w:rPr>
          <w:i/>
          <w:sz w:val="28"/>
          <w:szCs w:val="28"/>
        </w:rPr>
        <w:t>Нарушение функции печени или желчного пузыря</w:t>
      </w:r>
    </w:p>
    <w:p w14:paraId="1E6EA8DA" w14:textId="77777777" w:rsidR="00C75ED7" w:rsidRPr="00C75ED7" w:rsidRDefault="00C75ED7" w:rsidP="00C75ED7">
      <w:pPr>
        <w:pStyle w:val="Default"/>
        <w:jc w:val="both"/>
        <w:rPr>
          <w:sz w:val="28"/>
          <w:szCs w:val="28"/>
        </w:rPr>
      </w:pPr>
      <w:r w:rsidRPr="00C75ED7">
        <w:rPr>
          <w:sz w:val="28"/>
          <w:szCs w:val="28"/>
        </w:rPr>
        <w:t xml:space="preserve">В случае печеночной недостаточности, могут наблюдаться проблемы с поглощением </w:t>
      </w:r>
      <w:proofErr w:type="spellStart"/>
      <w:r w:rsidRPr="00C75ED7">
        <w:rPr>
          <w:sz w:val="28"/>
          <w:szCs w:val="28"/>
        </w:rPr>
        <w:t>кальцифедиола</w:t>
      </w:r>
      <w:proofErr w:type="spellEnd"/>
      <w:r w:rsidRPr="00C75ED7">
        <w:rPr>
          <w:sz w:val="28"/>
          <w:szCs w:val="28"/>
        </w:rPr>
        <w:t xml:space="preserve"> из-за того, что не производятся соли желчных кислот.</w:t>
      </w:r>
    </w:p>
    <w:p w14:paraId="165072ED" w14:textId="77777777" w:rsidR="00C75ED7" w:rsidRPr="00C75ED7" w:rsidRDefault="00C75ED7" w:rsidP="00C75ED7">
      <w:pPr>
        <w:pStyle w:val="Default"/>
        <w:jc w:val="both"/>
        <w:rPr>
          <w:i/>
          <w:sz w:val="28"/>
          <w:szCs w:val="28"/>
        </w:rPr>
      </w:pPr>
      <w:r w:rsidRPr="00C75ED7">
        <w:rPr>
          <w:i/>
          <w:sz w:val="28"/>
          <w:szCs w:val="28"/>
        </w:rPr>
        <w:t>Нарушение функции почек</w:t>
      </w:r>
    </w:p>
    <w:p w14:paraId="2755A103" w14:textId="77777777" w:rsidR="00C75ED7" w:rsidRPr="00C75ED7" w:rsidRDefault="00C75ED7" w:rsidP="00C75ED7">
      <w:pPr>
        <w:pStyle w:val="Default"/>
        <w:jc w:val="both"/>
        <w:rPr>
          <w:sz w:val="28"/>
          <w:szCs w:val="28"/>
        </w:rPr>
      </w:pPr>
      <w:r w:rsidRPr="00C75ED7">
        <w:rPr>
          <w:sz w:val="28"/>
          <w:szCs w:val="28"/>
        </w:rPr>
        <w:t xml:space="preserve">Следует применять с осторожностью. Применение данного препарата у пациентов с хронической болезнью почек должно сопровождаться периодическим мониторингом уровня кальция и фосфора в сыворотке крови, а также профилактикой </w:t>
      </w:r>
      <w:proofErr w:type="spellStart"/>
      <w:r w:rsidRPr="00C75ED7">
        <w:rPr>
          <w:sz w:val="28"/>
          <w:szCs w:val="28"/>
        </w:rPr>
        <w:t>гиперкальциемии</w:t>
      </w:r>
      <w:proofErr w:type="spellEnd"/>
      <w:r w:rsidRPr="00C75ED7">
        <w:rPr>
          <w:sz w:val="28"/>
          <w:szCs w:val="28"/>
        </w:rPr>
        <w:t xml:space="preserve">. Трансформация в </w:t>
      </w:r>
      <w:proofErr w:type="spellStart"/>
      <w:r w:rsidRPr="00C75ED7">
        <w:rPr>
          <w:sz w:val="28"/>
          <w:szCs w:val="28"/>
        </w:rPr>
        <w:t>кальцитриол</w:t>
      </w:r>
      <w:proofErr w:type="spellEnd"/>
      <w:r w:rsidRPr="00C75ED7">
        <w:rPr>
          <w:sz w:val="28"/>
          <w:szCs w:val="28"/>
        </w:rPr>
        <w:t xml:space="preserve"> происходит в почках; таким образом, в случае тяжелой почечной недостаточности (клиренс </w:t>
      </w:r>
      <w:proofErr w:type="spellStart"/>
      <w:r w:rsidRPr="00C75ED7">
        <w:rPr>
          <w:sz w:val="28"/>
          <w:szCs w:val="28"/>
        </w:rPr>
        <w:t>креатинина</w:t>
      </w:r>
      <w:proofErr w:type="spellEnd"/>
      <w:r w:rsidRPr="00C75ED7">
        <w:rPr>
          <w:sz w:val="28"/>
          <w:szCs w:val="28"/>
        </w:rPr>
        <w:t xml:space="preserve"> менее 30 мл/мин) может наблюдаться весьма значительное снижение фармакологических эффектов.</w:t>
      </w:r>
    </w:p>
    <w:p w14:paraId="1B0EC70C" w14:textId="77777777" w:rsidR="00C75ED7" w:rsidRPr="00C75ED7" w:rsidRDefault="00C75ED7" w:rsidP="00C75ED7">
      <w:pPr>
        <w:pStyle w:val="Default"/>
        <w:jc w:val="both"/>
        <w:rPr>
          <w:i/>
          <w:sz w:val="28"/>
          <w:szCs w:val="28"/>
        </w:rPr>
      </w:pPr>
      <w:r w:rsidRPr="00C75ED7">
        <w:rPr>
          <w:i/>
          <w:sz w:val="28"/>
          <w:szCs w:val="28"/>
        </w:rPr>
        <w:t>Сердечная недостаточность</w:t>
      </w:r>
    </w:p>
    <w:p w14:paraId="20F6D61D" w14:textId="77777777" w:rsidR="00C75ED7" w:rsidRPr="00C75ED7" w:rsidRDefault="00C75ED7" w:rsidP="00C75ED7">
      <w:pPr>
        <w:pStyle w:val="Default"/>
        <w:jc w:val="both"/>
        <w:rPr>
          <w:sz w:val="28"/>
          <w:szCs w:val="28"/>
        </w:rPr>
      </w:pPr>
      <w:r w:rsidRPr="00C75ED7">
        <w:rPr>
          <w:sz w:val="28"/>
          <w:szCs w:val="28"/>
        </w:rPr>
        <w:t xml:space="preserve">Требуется особая осторожность. Содержание кальция в сыворотке крови пациента необходимо постоянно контролировать, особенно у пациентов на дигиталисе, поскольку может возникнуть </w:t>
      </w:r>
      <w:proofErr w:type="spellStart"/>
      <w:r w:rsidRPr="00C75ED7">
        <w:rPr>
          <w:sz w:val="28"/>
          <w:szCs w:val="28"/>
        </w:rPr>
        <w:t>гиперкальциемия</w:t>
      </w:r>
      <w:proofErr w:type="spellEnd"/>
      <w:r w:rsidRPr="00C75ED7">
        <w:rPr>
          <w:sz w:val="28"/>
          <w:szCs w:val="28"/>
        </w:rPr>
        <w:t xml:space="preserve"> и появиться аритмия. В начале лечения рекомендуется проводить контроль два раза в неделю. </w:t>
      </w:r>
    </w:p>
    <w:p w14:paraId="3880E1F4" w14:textId="77777777" w:rsidR="00C75ED7" w:rsidRPr="00C75ED7" w:rsidRDefault="00C75ED7" w:rsidP="00C75ED7">
      <w:pPr>
        <w:pStyle w:val="Default"/>
        <w:jc w:val="both"/>
        <w:rPr>
          <w:i/>
          <w:sz w:val="28"/>
          <w:szCs w:val="28"/>
        </w:rPr>
      </w:pPr>
      <w:proofErr w:type="spellStart"/>
      <w:r w:rsidRPr="00C75ED7">
        <w:rPr>
          <w:i/>
          <w:sz w:val="28"/>
          <w:szCs w:val="28"/>
        </w:rPr>
        <w:t>Гипопаратиреоз</w:t>
      </w:r>
      <w:proofErr w:type="spellEnd"/>
    </w:p>
    <w:p w14:paraId="43690D71" w14:textId="77777777" w:rsidR="00C75ED7" w:rsidRPr="00C75ED7" w:rsidRDefault="00C75ED7" w:rsidP="00C75ED7">
      <w:pPr>
        <w:pStyle w:val="Default"/>
        <w:jc w:val="both"/>
        <w:rPr>
          <w:sz w:val="28"/>
          <w:szCs w:val="28"/>
        </w:rPr>
      </w:pPr>
      <w:r w:rsidRPr="00C75ED7">
        <w:rPr>
          <w:sz w:val="28"/>
          <w:szCs w:val="28"/>
        </w:rPr>
        <w:t xml:space="preserve">Паратиреоидный гормон активирует фермент 1-альфа-гидроксилазу.  В результате чего, при недостаточности паращитовидной железы активность </w:t>
      </w:r>
      <w:proofErr w:type="spellStart"/>
      <w:r w:rsidRPr="00C75ED7">
        <w:rPr>
          <w:sz w:val="28"/>
          <w:szCs w:val="28"/>
        </w:rPr>
        <w:t>кальцифедиола</w:t>
      </w:r>
      <w:proofErr w:type="spellEnd"/>
      <w:r w:rsidRPr="00C75ED7">
        <w:rPr>
          <w:sz w:val="28"/>
          <w:szCs w:val="28"/>
        </w:rPr>
        <w:t xml:space="preserve"> может снижаться.</w:t>
      </w:r>
    </w:p>
    <w:p w14:paraId="30358843" w14:textId="77777777" w:rsidR="00C75ED7" w:rsidRPr="00C75ED7" w:rsidRDefault="00C75ED7" w:rsidP="00C75ED7">
      <w:pPr>
        <w:pStyle w:val="Default"/>
        <w:jc w:val="both"/>
        <w:rPr>
          <w:i/>
          <w:sz w:val="28"/>
          <w:szCs w:val="28"/>
        </w:rPr>
      </w:pPr>
      <w:r w:rsidRPr="00C75ED7">
        <w:rPr>
          <w:i/>
          <w:sz w:val="28"/>
          <w:szCs w:val="28"/>
        </w:rPr>
        <w:t>Камни в почках</w:t>
      </w:r>
    </w:p>
    <w:p w14:paraId="10B92E83" w14:textId="77777777" w:rsidR="00C75ED7" w:rsidRPr="00C75ED7" w:rsidRDefault="00C75ED7" w:rsidP="00C75ED7">
      <w:pPr>
        <w:pStyle w:val="Default"/>
        <w:jc w:val="both"/>
        <w:rPr>
          <w:sz w:val="28"/>
          <w:szCs w:val="28"/>
        </w:rPr>
      </w:pPr>
      <w:r w:rsidRPr="00C75ED7">
        <w:rPr>
          <w:sz w:val="28"/>
          <w:szCs w:val="28"/>
        </w:rPr>
        <w:t xml:space="preserve">Необходимо проводить мониторинг за </w:t>
      </w:r>
      <w:proofErr w:type="spellStart"/>
      <w:r w:rsidRPr="00C75ED7">
        <w:rPr>
          <w:sz w:val="28"/>
          <w:szCs w:val="28"/>
        </w:rPr>
        <w:t>кальцемией</w:t>
      </w:r>
      <w:proofErr w:type="spellEnd"/>
      <w:r w:rsidRPr="00C75ED7">
        <w:rPr>
          <w:sz w:val="28"/>
          <w:szCs w:val="28"/>
        </w:rPr>
        <w:t>, так как витамин D увеличивает всасывание кальция и может усугубить ситуацию. У этих пациентов добавки витамина D следует назначать только в том случае, если польза от его приема превышает риски.</w:t>
      </w:r>
    </w:p>
    <w:p w14:paraId="2B3A0599" w14:textId="77777777" w:rsidR="00C75ED7" w:rsidRPr="00C75ED7" w:rsidRDefault="00C75ED7" w:rsidP="00C75ED7">
      <w:pPr>
        <w:pStyle w:val="Default"/>
        <w:jc w:val="both"/>
        <w:rPr>
          <w:i/>
          <w:sz w:val="28"/>
          <w:szCs w:val="28"/>
        </w:rPr>
      </w:pPr>
      <w:r w:rsidRPr="00C75ED7">
        <w:rPr>
          <w:i/>
          <w:sz w:val="28"/>
          <w:szCs w:val="28"/>
        </w:rPr>
        <w:lastRenderedPageBreak/>
        <w:t xml:space="preserve">Длительная иммобилизация </w:t>
      </w:r>
    </w:p>
    <w:p w14:paraId="6BF58649" w14:textId="77777777" w:rsidR="00C75ED7" w:rsidRPr="00C75ED7" w:rsidRDefault="00C75ED7" w:rsidP="00C75ED7">
      <w:pPr>
        <w:pStyle w:val="Default"/>
        <w:jc w:val="both"/>
        <w:rPr>
          <w:sz w:val="28"/>
          <w:szCs w:val="28"/>
        </w:rPr>
      </w:pPr>
      <w:r w:rsidRPr="00C75ED7">
        <w:rPr>
          <w:sz w:val="28"/>
          <w:szCs w:val="28"/>
        </w:rPr>
        <w:t xml:space="preserve">У пациентов с длительной иммобилизацией может возникнуть необходимость в снижении дозы препарата во избежание </w:t>
      </w:r>
      <w:proofErr w:type="spellStart"/>
      <w:r w:rsidRPr="00C75ED7">
        <w:rPr>
          <w:sz w:val="28"/>
          <w:szCs w:val="28"/>
        </w:rPr>
        <w:t>гиперкальциемии</w:t>
      </w:r>
      <w:proofErr w:type="spellEnd"/>
      <w:r w:rsidRPr="00C75ED7">
        <w:rPr>
          <w:sz w:val="28"/>
          <w:szCs w:val="28"/>
        </w:rPr>
        <w:t>.</w:t>
      </w:r>
    </w:p>
    <w:p w14:paraId="452D9834" w14:textId="77777777" w:rsidR="00C75ED7" w:rsidRPr="00C75ED7" w:rsidRDefault="00C75ED7" w:rsidP="00C75ED7">
      <w:pPr>
        <w:pStyle w:val="Default"/>
        <w:jc w:val="both"/>
        <w:rPr>
          <w:sz w:val="28"/>
          <w:szCs w:val="28"/>
        </w:rPr>
      </w:pPr>
      <w:r w:rsidRPr="00C75ED7">
        <w:rPr>
          <w:sz w:val="28"/>
          <w:szCs w:val="28"/>
        </w:rPr>
        <w:t>Некоторые заболевания снижают способность кишечника усваивать витамин D, например</w:t>
      </w:r>
      <w:r w:rsidRPr="00C75ED7">
        <w:rPr>
          <w:sz w:val="28"/>
          <w:szCs w:val="28"/>
          <w:lang w:val="en-US"/>
        </w:rPr>
        <w:t>,</w:t>
      </w:r>
      <w:r w:rsidRPr="00C75ED7">
        <w:rPr>
          <w:sz w:val="28"/>
          <w:szCs w:val="28"/>
        </w:rPr>
        <w:t xml:space="preserve"> сюда можно отнести синдром </w:t>
      </w:r>
      <w:proofErr w:type="spellStart"/>
      <w:r w:rsidRPr="00C75ED7">
        <w:rPr>
          <w:sz w:val="28"/>
          <w:szCs w:val="28"/>
        </w:rPr>
        <w:t>мальабсорбции</w:t>
      </w:r>
      <w:proofErr w:type="spellEnd"/>
      <w:r w:rsidRPr="00C75ED7">
        <w:rPr>
          <w:sz w:val="28"/>
          <w:szCs w:val="28"/>
        </w:rPr>
        <w:t xml:space="preserve"> или болезнь Крона.</w:t>
      </w:r>
    </w:p>
    <w:p w14:paraId="0134DC22" w14:textId="77777777" w:rsidR="00C75ED7" w:rsidRPr="00C75ED7" w:rsidRDefault="00C75ED7" w:rsidP="00C75ED7">
      <w:pPr>
        <w:pStyle w:val="Default"/>
        <w:jc w:val="both"/>
        <w:rPr>
          <w:i/>
          <w:sz w:val="28"/>
          <w:szCs w:val="28"/>
        </w:rPr>
      </w:pPr>
      <w:proofErr w:type="spellStart"/>
      <w:r w:rsidRPr="00C75ED7">
        <w:rPr>
          <w:i/>
          <w:sz w:val="28"/>
          <w:szCs w:val="28"/>
        </w:rPr>
        <w:t>Саркоидоз</w:t>
      </w:r>
      <w:proofErr w:type="spellEnd"/>
      <w:r w:rsidRPr="00C75ED7">
        <w:rPr>
          <w:i/>
          <w:sz w:val="28"/>
          <w:szCs w:val="28"/>
        </w:rPr>
        <w:t>, туберкулез и другие гранулематозные заболевания</w:t>
      </w:r>
    </w:p>
    <w:p w14:paraId="63EDC4A3" w14:textId="77777777" w:rsidR="00C75ED7" w:rsidRPr="00C75ED7" w:rsidRDefault="00C75ED7" w:rsidP="00C75ED7">
      <w:pPr>
        <w:pStyle w:val="Default"/>
        <w:jc w:val="both"/>
        <w:rPr>
          <w:sz w:val="28"/>
          <w:szCs w:val="28"/>
        </w:rPr>
      </w:pPr>
      <w:r w:rsidRPr="00C75ED7">
        <w:rPr>
          <w:sz w:val="28"/>
          <w:szCs w:val="28"/>
        </w:rPr>
        <w:t>Назначать с осторожностью, так как эти заболевания приводят к большей чувствительности к действию витамина D, а также к увеличению риска побочных эффектов в случае приема доз ниже рекомендуемой. Необходимо контролировать концентрацию кальция в сыворотке крови и моче у этих пациентов.</w:t>
      </w:r>
    </w:p>
    <w:p w14:paraId="339D9B93" w14:textId="77777777" w:rsidR="00C75ED7" w:rsidRPr="00C75ED7" w:rsidRDefault="00C75ED7" w:rsidP="00C75ED7">
      <w:pPr>
        <w:pStyle w:val="Default"/>
        <w:jc w:val="both"/>
        <w:rPr>
          <w:sz w:val="28"/>
          <w:szCs w:val="28"/>
        </w:rPr>
      </w:pPr>
      <w:r w:rsidRPr="00C75ED7">
        <w:rPr>
          <w:sz w:val="28"/>
          <w:szCs w:val="28"/>
        </w:rPr>
        <w:t>С целью предотвращения передозировки пациенты, члены их семьи и/или лица, осуществляющие уход, должны быть проинформированы о важности соблюдения предписанной дозы и рекомендаций относительно диеты и сопутствующего приема добавок кальция.</w:t>
      </w:r>
    </w:p>
    <w:p w14:paraId="40662D18" w14:textId="77777777" w:rsidR="00C75ED7" w:rsidRPr="00C75ED7" w:rsidRDefault="00C75ED7" w:rsidP="00C75ED7">
      <w:pPr>
        <w:pStyle w:val="Default"/>
        <w:jc w:val="both"/>
        <w:rPr>
          <w:i/>
          <w:sz w:val="28"/>
          <w:szCs w:val="28"/>
        </w:rPr>
      </w:pPr>
      <w:r w:rsidRPr="00C75ED7">
        <w:rPr>
          <w:i/>
          <w:sz w:val="28"/>
          <w:szCs w:val="28"/>
        </w:rPr>
        <w:t>Влияния на результаты лабораторных анализов</w:t>
      </w:r>
    </w:p>
    <w:p w14:paraId="76437D2B" w14:textId="7462D425" w:rsidR="00C75ED7" w:rsidRDefault="00C75ED7" w:rsidP="00C75ED7">
      <w:pPr>
        <w:pStyle w:val="ac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5ED7">
        <w:rPr>
          <w:rFonts w:ascii="Times New Roman" w:hAnsi="Times New Roman"/>
          <w:sz w:val="28"/>
          <w:szCs w:val="28"/>
        </w:rPr>
        <w:t>Кальцифедиол</w:t>
      </w:r>
      <w:proofErr w:type="spellEnd"/>
      <w:r w:rsidRPr="00C75ED7">
        <w:rPr>
          <w:rFonts w:ascii="Times New Roman" w:hAnsi="Times New Roman"/>
          <w:sz w:val="28"/>
          <w:szCs w:val="28"/>
        </w:rPr>
        <w:t xml:space="preserve"> может влиять на результаты анализа на холестерин (по методу </w:t>
      </w:r>
      <w:proofErr w:type="spellStart"/>
      <w:r w:rsidRPr="00C75ED7">
        <w:rPr>
          <w:rFonts w:ascii="Times New Roman" w:hAnsi="Times New Roman"/>
          <w:sz w:val="28"/>
          <w:szCs w:val="28"/>
        </w:rPr>
        <w:t>Златкис-Зака</w:t>
      </w:r>
      <w:proofErr w:type="spellEnd"/>
      <w:r w:rsidRPr="00C75ED7">
        <w:rPr>
          <w:rFonts w:ascii="Times New Roman" w:hAnsi="Times New Roman"/>
          <w:sz w:val="28"/>
          <w:szCs w:val="28"/>
        </w:rPr>
        <w:t>), что приводит к ложному повышению его уровня в сыворотке крови.</w:t>
      </w:r>
    </w:p>
    <w:p w14:paraId="56C9E396" w14:textId="77777777" w:rsidR="00C75ED7" w:rsidRPr="00C75ED7" w:rsidRDefault="00C75ED7" w:rsidP="00C75ED7">
      <w:pPr>
        <w:pStyle w:val="ac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F52DE48" w14:textId="77777777" w:rsidR="007D0E84" w:rsidRPr="00844CE8" w:rsidRDefault="007D0E84" w:rsidP="00F850FD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14:paraId="3693CD34" w14:textId="77777777" w:rsidR="00E365DE" w:rsidRPr="00E365DE" w:rsidRDefault="00A352D8" w:rsidP="00E365DE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2175220271"/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енитоин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фенобарбитал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примидон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другие индукторы ферментов: индукторы </w:t>
      </w:r>
      <w:r w:rsidR="00271B94" w:rsidRPr="00E365DE">
        <w:rPr>
          <w:rFonts w:ascii="Times New Roman" w:eastAsia="Times New Roman" w:hAnsi="Times New Roman"/>
          <w:sz w:val="28"/>
          <w:szCs w:val="28"/>
          <w:lang w:eastAsia="ru-RU"/>
        </w:rPr>
        <w:t xml:space="preserve">ферментов могут снижать концентрацию </w:t>
      </w:r>
      <w:proofErr w:type="spellStart"/>
      <w:r w:rsidR="00271B94" w:rsidRPr="00E365DE">
        <w:rPr>
          <w:rFonts w:ascii="Times New Roman" w:eastAsia="Times New Roman" w:hAnsi="Times New Roman"/>
          <w:sz w:val="28"/>
          <w:szCs w:val="28"/>
          <w:lang w:eastAsia="ru-RU"/>
        </w:rPr>
        <w:t>кальцифедиола</w:t>
      </w:r>
      <w:proofErr w:type="spellEnd"/>
      <w:r w:rsidR="00271B94" w:rsidRPr="00E365DE">
        <w:rPr>
          <w:rFonts w:ascii="Times New Roman" w:eastAsia="Times New Roman" w:hAnsi="Times New Roman"/>
          <w:sz w:val="28"/>
          <w:szCs w:val="28"/>
          <w:lang w:eastAsia="ru-RU"/>
        </w:rPr>
        <w:t xml:space="preserve"> в плазме крови и ингибировать его действие, индуцируя его печеночный метаболизм.</w:t>
      </w:r>
      <w:r w:rsidR="00E365DE" w:rsidRPr="00E365DE">
        <w:rPr>
          <w:rFonts w:ascii="Times New Roman" w:eastAsia="Times New Roman" w:hAnsi="Times New Roman"/>
          <w:sz w:val="28"/>
          <w:szCs w:val="28"/>
          <w:lang w:eastAsia="ru-RU"/>
        </w:rPr>
        <w:t xml:space="preserve"> По этой причине обычно рекомендуется контролировать уровень 25-OH-холекальциферола в плазме при применении </w:t>
      </w:r>
      <w:proofErr w:type="spellStart"/>
      <w:r w:rsidR="00E365DE" w:rsidRPr="00E365DE">
        <w:rPr>
          <w:rFonts w:ascii="Times New Roman" w:eastAsia="Times New Roman" w:hAnsi="Times New Roman"/>
          <w:sz w:val="28"/>
          <w:szCs w:val="28"/>
          <w:lang w:eastAsia="ru-RU"/>
        </w:rPr>
        <w:t>кальцифедиола</w:t>
      </w:r>
      <w:proofErr w:type="spellEnd"/>
      <w:r w:rsidR="00E365DE" w:rsidRPr="00E365DE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противоэпилептическими препаратами, являющимися индукторами CYP3A4, чтобы рассмотреть возможность их совместного применения.</w:t>
      </w:r>
    </w:p>
    <w:p w14:paraId="5F340E5E" w14:textId="512B7704" w:rsidR="00E365DE" w:rsidRPr="00E365DE" w:rsidRDefault="00E365DE" w:rsidP="00E365DE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5DE">
        <w:rPr>
          <w:rFonts w:ascii="Times New Roman" w:eastAsia="Times New Roman" w:hAnsi="Times New Roman"/>
          <w:sz w:val="28"/>
          <w:szCs w:val="28"/>
          <w:lang w:eastAsia="ru-RU"/>
        </w:rPr>
        <w:t xml:space="preserve">сердечные гликозиды: </w:t>
      </w:r>
      <w:proofErr w:type="spellStart"/>
      <w:r w:rsidRPr="00E365DE">
        <w:rPr>
          <w:rFonts w:ascii="Times New Roman" w:eastAsia="Times New Roman" w:hAnsi="Times New Roman"/>
          <w:sz w:val="28"/>
          <w:szCs w:val="28"/>
          <w:lang w:eastAsia="ru-RU"/>
        </w:rPr>
        <w:t>кальцифедиол</w:t>
      </w:r>
      <w:proofErr w:type="spellEnd"/>
      <w:r w:rsidRPr="00E365DE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вызывать </w:t>
      </w:r>
      <w:proofErr w:type="spellStart"/>
      <w:r w:rsidRPr="00E365DE">
        <w:rPr>
          <w:rFonts w:ascii="Times New Roman" w:eastAsia="Times New Roman" w:hAnsi="Times New Roman"/>
          <w:sz w:val="28"/>
          <w:szCs w:val="28"/>
          <w:lang w:eastAsia="ru-RU"/>
        </w:rPr>
        <w:t>гиперкальциемию</w:t>
      </w:r>
      <w:proofErr w:type="spellEnd"/>
      <w:r w:rsidRPr="00E365DE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которая, в свою очередь, может усиливать инотропное действие </w:t>
      </w:r>
      <w:proofErr w:type="spellStart"/>
      <w:r w:rsidRPr="00E365DE">
        <w:rPr>
          <w:rFonts w:ascii="Times New Roman" w:eastAsia="Times New Roman" w:hAnsi="Times New Roman"/>
          <w:sz w:val="28"/>
          <w:szCs w:val="28"/>
          <w:lang w:eastAsia="ru-RU"/>
        </w:rPr>
        <w:t>дигоксина</w:t>
      </w:r>
      <w:proofErr w:type="spellEnd"/>
      <w:r w:rsidRPr="00E365DE">
        <w:rPr>
          <w:rFonts w:ascii="Times New Roman" w:eastAsia="Times New Roman" w:hAnsi="Times New Roman"/>
          <w:sz w:val="28"/>
          <w:szCs w:val="28"/>
          <w:lang w:eastAsia="ru-RU"/>
        </w:rPr>
        <w:t xml:space="preserve"> и его токсичность, вызывая сердечные аритмии.</w:t>
      </w:r>
    </w:p>
    <w:p w14:paraId="5B289EB3" w14:textId="77777777" w:rsidR="00271B94" w:rsidRPr="00271B94" w:rsidRDefault="00A352D8" w:rsidP="00F850FD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репараты, которые уменьшают всасывание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кальцидиола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, такие как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холестирамин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колестипол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орлистат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, что может привести к снижению его действия. Рекомендуется чтобы промежуток между приемами этих препаратов и добавок витамина D составлял не менее 2 часов.</w:t>
      </w:r>
    </w:p>
    <w:p w14:paraId="405D1FD4" w14:textId="77777777" w:rsidR="00271B94" w:rsidRPr="00271B94" w:rsidRDefault="00A352D8" w:rsidP="00F850FD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арафиновое и минеральное масло: из-за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жирорастворимости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кальцидиола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продукт может растворяться в парафине, в связи с чем всасывание в кишечнике может снизиться. Рекомендуется использовать другие виды слабительных или, делать промежутки между приемами дозы. </w:t>
      </w:r>
    </w:p>
    <w:p w14:paraId="4F9AE9F2" w14:textId="77777777" w:rsidR="00271B94" w:rsidRPr="00271B94" w:rsidRDefault="00A352D8" w:rsidP="00F850FD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иазидный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 диуретик: Одновременное назначение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тиазидного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 диуретика (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гидрохлоротиазида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) вместе с добавками витамина D у пациентов с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гипопаратиреозом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привести к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гиперкальциемии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которая может </w:t>
      </w:r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протекать временно или может потребовать прекращения лечения аналогом витамина D.</w:t>
      </w:r>
    </w:p>
    <w:p w14:paraId="050DD244" w14:textId="77777777" w:rsidR="00271B94" w:rsidRPr="00271B94" w:rsidRDefault="00A352D8" w:rsidP="00F850FD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екоторые антибиотики, такие как пенициллин,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неомицин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хлорамфеникол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, могут увеличить всасывание кальция.</w:t>
      </w:r>
    </w:p>
    <w:p w14:paraId="7E483D03" w14:textId="77777777" w:rsidR="00271B94" w:rsidRPr="00271B94" w:rsidRDefault="00A352D8" w:rsidP="00F850FD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осфатсвязывающие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средства, такие как соли магния: может возникнуть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гипермагниемия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, поскольку витамин D влияет на транспорт фосфатов в кишечнике, почках и костях.   Необходимо корректировать дозировку фосфат-связывающих препаратов, опираясь на концентрацию фосфатов в сыворотке крови.</w:t>
      </w:r>
    </w:p>
    <w:p w14:paraId="345992C7" w14:textId="77777777" w:rsidR="00271B94" w:rsidRPr="00271B94" w:rsidRDefault="00A352D8" w:rsidP="00F850FD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ерапамил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: некоторые исследования показывают потенциальное ингибирование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антиангинального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действия, обусловленное антагонизмом их действия.</w:t>
      </w:r>
    </w:p>
    <w:p w14:paraId="6B60AB57" w14:textId="77777777" w:rsidR="00271B94" w:rsidRPr="00271B94" w:rsidRDefault="00A352D8" w:rsidP="00F850FD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итамин D: одновременное применение любого аналога витамина D следует избегать, так как могут возникнуть аддитивные эффекты и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гиперкальциемия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69A1AA5" w14:textId="77777777" w:rsidR="00271B94" w:rsidRPr="00271B94" w:rsidRDefault="00A352D8" w:rsidP="00F850FD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обавки кальция: следует избегать бесконтрольного приема дополнительных препаратов, содержащих кальций.</w:t>
      </w:r>
    </w:p>
    <w:p w14:paraId="10FD1777" w14:textId="77777777" w:rsidR="00271B94" w:rsidRDefault="00A352D8" w:rsidP="00F850FD">
      <w:pPr>
        <w:pStyle w:val="ad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 xml:space="preserve">ортикостероиды: они противодействуют эффектам препаратов-аналогов витамина D, таких как </w:t>
      </w:r>
      <w:proofErr w:type="spellStart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кальцифедиол</w:t>
      </w:r>
      <w:proofErr w:type="spellEnd"/>
      <w:r w:rsidR="00271B94" w:rsidRPr="00271B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F35A3B4" w14:textId="77777777" w:rsidR="00151233" w:rsidRPr="00151233" w:rsidRDefault="00151233" w:rsidP="0015123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51233">
        <w:rPr>
          <w:rFonts w:ascii="Times New Roman" w:hAnsi="Times New Roman"/>
          <w:i/>
          <w:sz w:val="28"/>
          <w:szCs w:val="28"/>
        </w:rPr>
        <w:t>Взаимодействие с пищей и напитками</w:t>
      </w:r>
    </w:p>
    <w:p w14:paraId="57D603C9" w14:textId="77777777" w:rsidR="00151233" w:rsidRPr="00151233" w:rsidRDefault="00151233" w:rsidP="00151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1233">
        <w:rPr>
          <w:rFonts w:ascii="Times New Roman" w:hAnsi="Times New Roman"/>
          <w:sz w:val="28"/>
          <w:szCs w:val="28"/>
        </w:rPr>
        <w:t>Следует принимать во внимание пищевые добавки, содержащие витамин D, так как может возникнуть эффект привыкания.</w:t>
      </w:r>
    </w:p>
    <w:p w14:paraId="5C4E9EF9" w14:textId="77777777" w:rsidR="00151233" w:rsidRPr="00271B94" w:rsidRDefault="00151233" w:rsidP="00151233">
      <w:pPr>
        <w:pStyle w:val="ad"/>
        <w:tabs>
          <w:tab w:val="left" w:pos="426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1"/>
    <w:p w14:paraId="5AE73CF9" w14:textId="77777777" w:rsidR="00D43297" w:rsidRPr="00844CE8" w:rsidRDefault="00D43297" w:rsidP="00F850FD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Специальные предупреждения</w:t>
      </w:r>
    </w:p>
    <w:p w14:paraId="1C74B1E1" w14:textId="77777777" w:rsidR="00C75ED7" w:rsidRPr="00C75ED7" w:rsidRDefault="00C75ED7" w:rsidP="00C75ED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es-ES"/>
        </w:rPr>
      </w:pPr>
      <w:r w:rsidRPr="00C75ED7">
        <w:rPr>
          <w:rFonts w:ascii="Times New Roman" w:hAnsi="Times New Roman"/>
          <w:i/>
          <w:sz w:val="28"/>
          <w:szCs w:val="28"/>
          <w:lang w:eastAsia="es-ES"/>
        </w:rPr>
        <w:t xml:space="preserve">Пациенты пожилого возраста </w:t>
      </w:r>
    </w:p>
    <w:p w14:paraId="43D8C9F9" w14:textId="77777777" w:rsidR="00C75ED7" w:rsidRPr="00C75ED7" w:rsidRDefault="00C75ED7" w:rsidP="00C75ED7">
      <w:pPr>
        <w:pStyle w:val="Default"/>
        <w:jc w:val="both"/>
        <w:rPr>
          <w:sz w:val="28"/>
          <w:szCs w:val="28"/>
        </w:rPr>
      </w:pPr>
      <w:r w:rsidRPr="00C75ED7">
        <w:rPr>
          <w:sz w:val="28"/>
          <w:szCs w:val="28"/>
        </w:rPr>
        <w:t xml:space="preserve">У пожилых людей, как правило, возрастает потребность в витамине D из-за более низкой способности кожи вырабатывать </w:t>
      </w:r>
      <w:proofErr w:type="spellStart"/>
      <w:r w:rsidRPr="00C75ED7">
        <w:rPr>
          <w:sz w:val="28"/>
          <w:szCs w:val="28"/>
        </w:rPr>
        <w:t>холекальциферол</w:t>
      </w:r>
      <w:proofErr w:type="spellEnd"/>
      <w:r w:rsidRPr="00C75ED7">
        <w:rPr>
          <w:sz w:val="28"/>
          <w:szCs w:val="28"/>
        </w:rPr>
        <w:t xml:space="preserve"> из 7-дегидрохолестерина, а также из-за уменьшения солнечного воздействия, изменений почечной функции или расстройств пищеварения, которые сокращают всасывание витамина D.</w:t>
      </w:r>
    </w:p>
    <w:p w14:paraId="6EC92900" w14:textId="77777777" w:rsidR="00C75ED7" w:rsidRPr="00C75ED7" w:rsidRDefault="00C75ED7" w:rsidP="00C75ED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75ED7">
        <w:rPr>
          <w:rFonts w:ascii="Times New Roman" w:hAnsi="Times New Roman"/>
          <w:i/>
          <w:sz w:val="28"/>
          <w:szCs w:val="28"/>
        </w:rPr>
        <w:t>Вспомогательные вещества</w:t>
      </w:r>
    </w:p>
    <w:p w14:paraId="3636D325" w14:textId="4FCEC11F" w:rsidR="00C75ED7" w:rsidRPr="00C75ED7" w:rsidRDefault="00C75ED7" w:rsidP="00C75E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ED7">
        <w:rPr>
          <w:rFonts w:ascii="Times New Roman" w:hAnsi="Times New Roman"/>
          <w:sz w:val="28"/>
          <w:szCs w:val="28"/>
        </w:rPr>
        <w:t>В одной мягкой капсуле данного препарата содержится 4,98 мг спирта (этанола). Это количество, содержащееся в 1 капсуле препарата, соответствует менее 1 мл пива или 1 мл вина. Алкоголь, содержащийся в этом лекарственном препарате в таком незначительном количестве, никакого заметного воздействия не оказывает.</w:t>
      </w:r>
    </w:p>
    <w:p w14:paraId="23ADF6CC" w14:textId="77777777" w:rsidR="00C75ED7" w:rsidRPr="00C75ED7" w:rsidRDefault="00C75ED7" w:rsidP="00C75E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ED7">
        <w:rPr>
          <w:rFonts w:ascii="Times New Roman" w:hAnsi="Times New Roman"/>
          <w:sz w:val="28"/>
          <w:szCs w:val="28"/>
        </w:rPr>
        <w:t>В одной мягкой капсуле данного лекарственного препарата содержится 31,30 мг сорбитола (70% об/об).</w:t>
      </w:r>
    </w:p>
    <w:p w14:paraId="63E1A8AE" w14:textId="77777777" w:rsidR="00C75ED7" w:rsidRPr="00C75ED7" w:rsidRDefault="00C75ED7" w:rsidP="00C75E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GB" w:eastAsia="es-ES"/>
        </w:rPr>
      </w:pPr>
      <w:r w:rsidRPr="00C75ED7">
        <w:rPr>
          <w:rFonts w:ascii="Times New Roman" w:hAnsi="Times New Roman"/>
          <w:sz w:val="28"/>
          <w:szCs w:val="28"/>
        </w:rPr>
        <w:t>Пациентам с наследственными проблемами непереносимости фруктозы не следует принимать этот препарат.</w:t>
      </w:r>
    </w:p>
    <w:p w14:paraId="6310FA5E" w14:textId="77777777" w:rsidR="00C75ED7" w:rsidRPr="00C75ED7" w:rsidRDefault="00C75ED7" w:rsidP="00C75E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ED7">
        <w:rPr>
          <w:rFonts w:ascii="Times New Roman" w:hAnsi="Times New Roman"/>
          <w:sz w:val="28"/>
          <w:szCs w:val="28"/>
        </w:rPr>
        <w:t xml:space="preserve">В данном лекарственном препарате содержится краситель желтый «солнечный закат» (E-110), который может вызывать аллергические реакции. </w:t>
      </w:r>
    </w:p>
    <w:p w14:paraId="04D56B41" w14:textId="49871B67" w:rsidR="00C75ED7" w:rsidRPr="00151233" w:rsidRDefault="00C75ED7" w:rsidP="00C75E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ED7">
        <w:rPr>
          <w:rFonts w:ascii="Times New Roman" w:hAnsi="Times New Roman"/>
          <w:sz w:val="28"/>
          <w:szCs w:val="28"/>
        </w:rPr>
        <w:t xml:space="preserve">Международные единицы (МЕ) не должны использоваться для определения дозы </w:t>
      </w:r>
      <w:proofErr w:type="spellStart"/>
      <w:r w:rsidRPr="00C75ED7">
        <w:rPr>
          <w:rFonts w:ascii="Times New Roman" w:hAnsi="Times New Roman"/>
          <w:sz w:val="28"/>
          <w:szCs w:val="28"/>
        </w:rPr>
        <w:t>кальцифедиола</w:t>
      </w:r>
      <w:proofErr w:type="spellEnd"/>
      <w:r w:rsidRPr="00C75ED7">
        <w:rPr>
          <w:rFonts w:ascii="Times New Roman" w:hAnsi="Times New Roman"/>
          <w:sz w:val="28"/>
          <w:szCs w:val="28"/>
        </w:rPr>
        <w:t xml:space="preserve">, так как это может привести к передозировке. Вместо </w:t>
      </w:r>
      <w:r w:rsidRPr="00C75ED7">
        <w:rPr>
          <w:rFonts w:ascii="Times New Roman" w:hAnsi="Times New Roman"/>
          <w:sz w:val="28"/>
          <w:szCs w:val="28"/>
        </w:rPr>
        <w:lastRenderedPageBreak/>
        <w:t>этого следует придерживаться рекомендаций по доз</w:t>
      </w:r>
      <w:r w:rsidR="00151233">
        <w:rPr>
          <w:rFonts w:ascii="Times New Roman" w:hAnsi="Times New Roman"/>
          <w:sz w:val="28"/>
          <w:szCs w:val="28"/>
        </w:rPr>
        <w:t xml:space="preserve">ировке, приведенных в </w:t>
      </w:r>
      <w:r w:rsidR="00151233" w:rsidRPr="00151233">
        <w:rPr>
          <w:rFonts w:ascii="Times New Roman" w:hAnsi="Times New Roman"/>
          <w:sz w:val="28"/>
          <w:szCs w:val="28"/>
        </w:rPr>
        <w:t>Рекомендациях по применению</w:t>
      </w:r>
      <w:r w:rsidRPr="00151233">
        <w:rPr>
          <w:rFonts w:ascii="Times New Roman" w:hAnsi="Times New Roman"/>
          <w:sz w:val="28"/>
          <w:szCs w:val="28"/>
        </w:rPr>
        <w:t>.</w:t>
      </w:r>
    </w:p>
    <w:p w14:paraId="7343196B" w14:textId="77777777" w:rsidR="00C75ED7" w:rsidRPr="00C75ED7" w:rsidRDefault="00C75ED7" w:rsidP="00151233">
      <w:pPr>
        <w:pStyle w:val="5"/>
        <w:tabs>
          <w:tab w:val="left" w:pos="0"/>
        </w:tabs>
        <w:spacing w:before="120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C75ED7">
        <w:rPr>
          <w:rFonts w:ascii="Times New Roman" w:hAnsi="Times New Roman" w:cs="Times New Roman"/>
          <w:i/>
          <w:color w:val="auto"/>
          <w:sz w:val="28"/>
          <w:szCs w:val="28"/>
        </w:rPr>
        <w:t>Беременность</w:t>
      </w:r>
    </w:p>
    <w:p w14:paraId="6FF97FFB" w14:textId="7D2927C7" w:rsidR="00C75ED7" w:rsidRPr="00C75ED7" w:rsidRDefault="00C75ED7" w:rsidP="00151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ED7">
        <w:rPr>
          <w:rFonts w:ascii="Times New Roman" w:hAnsi="Times New Roman"/>
          <w:sz w:val="28"/>
          <w:szCs w:val="28"/>
        </w:rPr>
        <w:t xml:space="preserve">Контролируемые исследования </w:t>
      </w:r>
      <w:proofErr w:type="spellStart"/>
      <w:r w:rsidRPr="00C75ED7">
        <w:rPr>
          <w:rFonts w:ascii="Times New Roman" w:hAnsi="Times New Roman"/>
          <w:sz w:val="28"/>
          <w:szCs w:val="28"/>
        </w:rPr>
        <w:t>кальцифедиола</w:t>
      </w:r>
      <w:proofErr w:type="spellEnd"/>
      <w:r w:rsidRPr="00C75ED7">
        <w:rPr>
          <w:rFonts w:ascii="Times New Roman" w:hAnsi="Times New Roman"/>
          <w:sz w:val="28"/>
          <w:szCs w:val="28"/>
        </w:rPr>
        <w:t xml:space="preserve"> у беременных женщин не проводились.</w:t>
      </w:r>
      <w:r w:rsidR="00151233">
        <w:rPr>
          <w:rFonts w:ascii="Times New Roman" w:hAnsi="Times New Roman"/>
          <w:sz w:val="28"/>
          <w:szCs w:val="28"/>
        </w:rPr>
        <w:t xml:space="preserve"> </w:t>
      </w:r>
      <w:r w:rsidRPr="00C75ED7">
        <w:rPr>
          <w:rFonts w:ascii="Times New Roman" w:hAnsi="Times New Roman"/>
          <w:sz w:val="28"/>
          <w:szCs w:val="28"/>
        </w:rPr>
        <w:t>В ходе исследований на животных продемонстрирована токсичность препарата в отношении репродуктивной системы.</w:t>
      </w:r>
    </w:p>
    <w:p w14:paraId="51AFACC1" w14:textId="77777777" w:rsidR="00C75ED7" w:rsidRPr="00C75ED7" w:rsidRDefault="00C75ED7" w:rsidP="00C75ED7">
      <w:pPr>
        <w:tabs>
          <w:tab w:val="left" w:pos="0"/>
        </w:tabs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proofErr w:type="spellStart"/>
      <w:r w:rsidRPr="00C75ED7">
        <w:rPr>
          <w:rFonts w:ascii="Times New Roman" w:hAnsi="Times New Roman"/>
          <w:sz w:val="28"/>
          <w:szCs w:val="28"/>
        </w:rPr>
        <w:t>Кальцифедиол</w:t>
      </w:r>
      <w:proofErr w:type="spellEnd"/>
      <w:r w:rsidRPr="00C75ED7">
        <w:rPr>
          <w:rFonts w:ascii="Times New Roman" w:hAnsi="Times New Roman"/>
          <w:sz w:val="28"/>
          <w:szCs w:val="28"/>
        </w:rPr>
        <w:t xml:space="preserve"> не следует применять во время беременности.</w:t>
      </w:r>
    </w:p>
    <w:p w14:paraId="56AB321F" w14:textId="77777777" w:rsidR="00C75ED7" w:rsidRPr="00C75ED7" w:rsidRDefault="00C75ED7" w:rsidP="00C75ED7">
      <w:pPr>
        <w:pStyle w:val="5"/>
        <w:tabs>
          <w:tab w:val="left" w:pos="0"/>
        </w:tabs>
        <w:spacing w:before="0"/>
        <w:ind w:right="-2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C75ED7">
        <w:rPr>
          <w:rFonts w:ascii="Times New Roman" w:hAnsi="Times New Roman" w:cs="Times New Roman"/>
          <w:i/>
          <w:color w:val="auto"/>
          <w:sz w:val="28"/>
          <w:szCs w:val="28"/>
        </w:rPr>
        <w:t>Лактация</w:t>
      </w:r>
    </w:p>
    <w:p w14:paraId="00AEAA4E" w14:textId="77777777" w:rsidR="00C75ED7" w:rsidRPr="00C75ED7" w:rsidRDefault="00C75ED7" w:rsidP="00C75ED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5ED7">
        <w:rPr>
          <w:rFonts w:ascii="Times New Roman" w:hAnsi="Times New Roman"/>
          <w:sz w:val="28"/>
          <w:szCs w:val="28"/>
        </w:rPr>
        <w:t>Кальцифедиол</w:t>
      </w:r>
      <w:proofErr w:type="spellEnd"/>
      <w:r w:rsidRPr="00C75ED7">
        <w:rPr>
          <w:rFonts w:ascii="Times New Roman" w:hAnsi="Times New Roman"/>
          <w:sz w:val="28"/>
          <w:szCs w:val="28"/>
        </w:rPr>
        <w:t xml:space="preserve"> проникает в грудное молоко.</w:t>
      </w:r>
    </w:p>
    <w:p w14:paraId="47C81A0C" w14:textId="77777777" w:rsidR="00C75ED7" w:rsidRPr="00C75ED7" w:rsidRDefault="00C75ED7" w:rsidP="00151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ED7">
        <w:rPr>
          <w:rFonts w:ascii="Times New Roman" w:hAnsi="Times New Roman"/>
          <w:sz w:val="28"/>
          <w:szCs w:val="28"/>
        </w:rPr>
        <w:t xml:space="preserve">Риск для новорожденных/младенцев исключить невозможно. Прием </w:t>
      </w:r>
      <w:proofErr w:type="spellStart"/>
      <w:r w:rsidRPr="00C75ED7">
        <w:rPr>
          <w:rFonts w:ascii="Times New Roman" w:hAnsi="Times New Roman"/>
          <w:sz w:val="28"/>
          <w:szCs w:val="28"/>
        </w:rPr>
        <w:t>кальцифедиола</w:t>
      </w:r>
      <w:proofErr w:type="spellEnd"/>
      <w:r w:rsidRPr="00C75ED7">
        <w:rPr>
          <w:rFonts w:ascii="Times New Roman" w:hAnsi="Times New Roman"/>
          <w:sz w:val="28"/>
          <w:szCs w:val="28"/>
        </w:rPr>
        <w:t xml:space="preserve"> матерью в высоких дозах может привести к повышению уровня </w:t>
      </w:r>
      <w:proofErr w:type="spellStart"/>
      <w:r w:rsidRPr="00C75ED7">
        <w:rPr>
          <w:rFonts w:ascii="Times New Roman" w:hAnsi="Times New Roman"/>
          <w:sz w:val="28"/>
          <w:szCs w:val="28"/>
        </w:rPr>
        <w:t>кальцитриола</w:t>
      </w:r>
      <w:proofErr w:type="spellEnd"/>
      <w:r w:rsidRPr="00C75ED7">
        <w:rPr>
          <w:rFonts w:ascii="Times New Roman" w:hAnsi="Times New Roman"/>
          <w:sz w:val="28"/>
          <w:szCs w:val="28"/>
        </w:rPr>
        <w:t xml:space="preserve"> в молоке и вызвать </w:t>
      </w:r>
      <w:proofErr w:type="spellStart"/>
      <w:r w:rsidRPr="00C75ED7">
        <w:rPr>
          <w:rFonts w:ascii="Times New Roman" w:hAnsi="Times New Roman"/>
          <w:sz w:val="28"/>
          <w:szCs w:val="28"/>
        </w:rPr>
        <w:t>гиперкальциемию</w:t>
      </w:r>
      <w:proofErr w:type="spellEnd"/>
      <w:r w:rsidRPr="00C75ED7">
        <w:rPr>
          <w:rFonts w:ascii="Times New Roman" w:hAnsi="Times New Roman"/>
          <w:sz w:val="28"/>
          <w:szCs w:val="28"/>
        </w:rPr>
        <w:t xml:space="preserve"> у младенцев.</w:t>
      </w:r>
    </w:p>
    <w:p w14:paraId="629C228A" w14:textId="77777777" w:rsidR="00C75ED7" w:rsidRPr="00C75ED7" w:rsidRDefault="00C75ED7" w:rsidP="00C75E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5ED7">
        <w:rPr>
          <w:rFonts w:ascii="Times New Roman" w:hAnsi="Times New Roman"/>
          <w:sz w:val="28"/>
          <w:szCs w:val="28"/>
        </w:rPr>
        <w:t>Данный препарат не следует принимать во время кормления грудью.</w:t>
      </w:r>
    </w:p>
    <w:p w14:paraId="1AE5E7D2" w14:textId="77777777" w:rsidR="00C75ED7" w:rsidRPr="00C75ED7" w:rsidRDefault="00C75ED7" w:rsidP="00C75ED7">
      <w:pPr>
        <w:pStyle w:val="5"/>
        <w:tabs>
          <w:tab w:val="left" w:pos="0"/>
        </w:tabs>
        <w:spacing w:before="0"/>
        <w:ind w:right="-2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C75ED7">
        <w:rPr>
          <w:rFonts w:ascii="Times New Roman" w:hAnsi="Times New Roman" w:cs="Times New Roman"/>
          <w:i/>
          <w:color w:val="auto"/>
          <w:sz w:val="28"/>
          <w:szCs w:val="28"/>
        </w:rPr>
        <w:t>Фертильность</w:t>
      </w:r>
    </w:p>
    <w:p w14:paraId="00FB150C" w14:textId="77777777" w:rsidR="00C75ED7" w:rsidRPr="00C75ED7" w:rsidRDefault="00C75ED7" w:rsidP="00C75E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5ED7">
        <w:rPr>
          <w:rFonts w:ascii="Times New Roman" w:hAnsi="Times New Roman"/>
          <w:sz w:val="28"/>
          <w:szCs w:val="28"/>
        </w:rPr>
        <w:t xml:space="preserve">Нет данных о влиянии </w:t>
      </w:r>
      <w:proofErr w:type="spellStart"/>
      <w:r w:rsidRPr="00C75ED7">
        <w:rPr>
          <w:rFonts w:ascii="Times New Roman" w:hAnsi="Times New Roman"/>
          <w:sz w:val="28"/>
          <w:szCs w:val="28"/>
        </w:rPr>
        <w:t>кальцифедиола</w:t>
      </w:r>
      <w:proofErr w:type="spellEnd"/>
      <w:r w:rsidRPr="00C75ED7">
        <w:rPr>
          <w:rFonts w:ascii="Times New Roman" w:hAnsi="Times New Roman"/>
          <w:sz w:val="28"/>
          <w:szCs w:val="28"/>
        </w:rPr>
        <w:t xml:space="preserve"> на фертильность у человека. </w:t>
      </w:r>
    </w:p>
    <w:p w14:paraId="79AE4D53" w14:textId="274E9EB6" w:rsidR="008C4AB9" w:rsidRPr="008C4AB9" w:rsidRDefault="008C4AB9" w:rsidP="00151233">
      <w:pPr>
        <w:spacing w:before="120"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C4AB9">
        <w:rPr>
          <w:rFonts w:ascii="Times New Roman" w:eastAsia="Times New Roman" w:hAnsi="Times New Roman"/>
          <w:i/>
          <w:sz w:val="28"/>
          <w:szCs w:val="28"/>
          <w:lang w:eastAsia="ru-RU"/>
        </w:rPr>
        <w:t>Особенности влияния лекарственного средства на способность управлять транспортным средством и потенциально опасными механизмами</w:t>
      </w:r>
    </w:p>
    <w:p w14:paraId="321E8EF6" w14:textId="77777777" w:rsidR="00C75ED7" w:rsidRPr="00C75ED7" w:rsidRDefault="00C75ED7" w:rsidP="00C75E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5ED7">
        <w:rPr>
          <w:rFonts w:ascii="Times New Roman" w:hAnsi="Times New Roman"/>
          <w:sz w:val="28"/>
          <w:szCs w:val="28"/>
        </w:rPr>
        <w:t>Препарат не влияет или же оказывает незначительное воздействие на способность к управлению транспортными средствами и обслуживанию механизмов.</w:t>
      </w:r>
    </w:p>
    <w:p w14:paraId="63A35149" w14:textId="77777777" w:rsidR="008C4AB9" w:rsidRPr="008C4AB9" w:rsidRDefault="008C4AB9" w:rsidP="00F850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7255DC" w14:textId="77777777" w:rsidR="00DB406A" w:rsidRPr="00844CE8" w:rsidRDefault="00DB406A" w:rsidP="00F850F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 по применению</w:t>
      </w:r>
    </w:p>
    <w:p w14:paraId="3C548175" w14:textId="77777777" w:rsidR="005C4B12" w:rsidRPr="00844CE8" w:rsidRDefault="00DB406A" w:rsidP="00F850FD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2" w:name="2175220274"/>
      <w:r w:rsidRPr="00844C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Режим дозирования</w:t>
      </w:r>
      <w:r w:rsidR="00617843" w:rsidRPr="00844C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10F7499C" w14:textId="77777777" w:rsidR="00464CAA" w:rsidRPr="00464CAA" w:rsidRDefault="00464CAA" w:rsidP="00C75ED7">
      <w:pPr>
        <w:pStyle w:val="aa"/>
        <w:spacing w:after="0"/>
        <w:jc w:val="both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t xml:space="preserve">Получение с пищей витамина D и воздействие солнца различны у пациентов, поэтому эти факторы должны учитываться при расчете соответствующей дозы препаратов-аналогов витамину D, таких как </w:t>
      </w:r>
      <w:proofErr w:type="spellStart"/>
      <w:r w:rsidRPr="00464CAA">
        <w:rPr>
          <w:rFonts w:ascii="Times" w:hAnsi="Times"/>
          <w:sz w:val="28"/>
          <w:szCs w:val="28"/>
        </w:rPr>
        <w:t>кальцифедиол</w:t>
      </w:r>
      <w:proofErr w:type="spellEnd"/>
      <w:r w:rsidRPr="00464CAA">
        <w:rPr>
          <w:rFonts w:ascii="Times" w:hAnsi="Times"/>
          <w:sz w:val="28"/>
          <w:szCs w:val="28"/>
        </w:rPr>
        <w:t>.</w:t>
      </w:r>
      <w:r>
        <w:rPr>
          <w:rFonts w:ascii="Times" w:hAnsi="Times"/>
          <w:sz w:val="28"/>
          <w:szCs w:val="28"/>
        </w:rPr>
        <w:t xml:space="preserve"> </w:t>
      </w:r>
      <w:r w:rsidRPr="00464CAA">
        <w:rPr>
          <w:rFonts w:ascii="Times" w:hAnsi="Times"/>
          <w:sz w:val="28"/>
          <w:szCs w:val="28"/>
        </w:rPr>
        <w:t xml:space="preserve">Доза, частота и продолжительность лечения определяются в зависимости от уровня 25-ОН-холекальциферола в плазме крови, типа и состояния пациента и других сопутствующих заболеваний, таких как ожирение, синдром </w:t>
      </w:r>
      <w:proofErr w:type="spellStart"/>
      <w:r w:rsidRPr="00464CAA">
        <w:rPr>
          <w:rFonts w:ascii="Times" w:hAnsi="Times"/>
          <w:sz w:val="28"/>
          <w:szCs w:val="28"/>
        </w:rPr>
        <w:t>мальабсорбции</w:t>
      </w:r>
      <w:proofErr w:type="spellEnd"/>
      <w:r w:rsidRPr="00464CAA">
        <w:rPr>
          <w:rFonts w:ascii="Times" w:hAnsi="Times"/>
          <w:sz w:val="28"/>
          <w:szCs w:val="28"/>
        </w:rPr>
        <w:t>, лечение кортикостероидами. Принимаемая доза должна обеспечивать уровень кальция в сыворотке крови в пределах 9-10 мг/дл.</w:t>
      </w:r>
    </w:p>
    <w:p w14:paraId="79CFB2EB" w14:textId="77777777" w:rsidR="00464CAA" w:rsidRPr="00464CAA" w:rsidRDefault="00464CAA" w:rsidP="00C75ED7">
      <w:pPr>
        <w:spacing w:after="0" w:line="240" w:lineRule="auto"/>
        <w:jc w:val="both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t xml:space="preserve">Определение 25-ОН-холекальциферола в плазме считается наиболее приемлемым способом диагностики дефицита витамина D. Принято считать, что дефицит витамина D существует, когда уровни 25-OH-холекальциферола в сыворотке крови составляют &lt;20 </w:t>
      </w:r>
      <w:proofErr w:type="spellStart"/>
      <w:r w:rsidRPr="00464CAA">
        <w:rPr>
          <w:rFonts w:ascii="Times" w:hAnsi="Times"/>
          <w:sz w:val="28"/>
          <w:szCs w:val="28"/>
        </w:rPr>
        <w:t>нг</w:t>
      </w:r>
      <w:proofErr w:type="spellEnd"/>
      <w:r w:rsidRPr="00464CAA">
        <w:rPr>
          <w:rFonts w:ascii="Times" w:hAnsi="Times"/>
          <w:sz w:val="28"/>
          <w:szCs w:val="28"/>
        </w:rPr>
        <w:t xml:space="preserve">/мл, а недостаточностью витамина D считают если уровни </w:t>
      </w:r>
      <w:proofErr w:type="spellStart"/>
      <w:r w:rsidRPr="00464CAA">
        <w:rPr>
          <w:rFonts w:ascii="Times" w:hAnsi="Times"/>
          <w:sz w:val="28"/>
          <w:szCs w:val="28"/>
        </w:rPr>
        <w:t>уровни</w:t>
      </w:r>
      <w:proofErr w:type="spellEnd"/>
      <w:r w:rsidRPr="00464CAA">
        <w:rPr>
          <w:rFonts w:ascii="Times" w:hAnsi="Times"/>
          <w:sz w:val="28"/>
          <w:szCs w:val="28"/>
        </w:rPr>
        <w:t xml:space="preserve"> 25-OH-холекальциферола в сыворотке крови находятся между 20 и 24 </w:t>
      </w:r>
      <w:proofErr w:type="spellStart"/>
      <w:r w:rsidRPr="00464CAA">
        <w:rPr>
          <w:rFonts w:ascii="Times" w:hAnsi="Times"/>
          <w:sz w:val="28"/>
          <w:szCs w:val="28"/>
        </w:rPr>
        <w:t>нг</w:t>
      </w:r>
      <w:proofErr w:type="spellEnd"/>
      <w:r w:rsidRPr="00464CAA">
        <w:rPr>
          <w:rFonts w:ascii="Times" w:hAnsi="Times"/>
          <w:sz w:val="28"/>
          <w:szCs w:val="28"/>
        </w:rPr>
        <w:t>/мл.</w:t>
      </w:r>
    </w:p>
    <w:p w14:paraId="300FEBFD" w14:textId="49DD6AFD" w:rsidR="00464CAA" w:rsidRDefault="00464CAA" w:rsidP="00C75ED7">
      <w:pPr>
        <w:spacing w:after="0" w:line="240" w:lineRule="auto"/>
        <w:jc w:val="both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t xml:space="preserve">В норме у людей средние концентрации 25-OH-холекальциферола в сыворотке крови составляют от 25 до 40 </w:t>
      </w:r>
      <w:proofErr w:type="spellStart"/>
      <w:r w:rsidRPr="00464CAA">
        <w:rPr>
          <w:rFonts w:ascii="Times" w:hAnsi="Times"/>
          <w:sz w:val="28"/>
          <w:szCs w:val="28"/>
        </w:rPr>
        <w:t>нг</w:t>
      </w:r>
      <w:proofErr w:type="spellEnd"/>
      <w:r w:rsidRPr="00464CAA">
        <w:rPr>
          <w:rFonts w:ascii="Times" w:hAnsi="Times"/>
          <w:sz w:val="28"/>
          <w:szCs w:val="28"/>
        </w:rPr>
        <w:t xml:space="preserve">/мл. Рекомендуемая доза составляет одна капсула (0,266 мг </w:t>
      </w:r>
      <w:proofErr w:type="spellStart"/>
      <w:r w:rsidRPr="00464CAA">
        <w:rPr>
          <w:rFonts w:ascii="Times" w:hAnsi="Times"/>
          <w:sz w:val="28"/>
          <w:szCs w:val="28"/>
        </w:rPr>
        <w:t>кальцифедиола</w:t>
      </w:r>
      <w:proofErr w:type="spellEnd"/>
      <w:r w:rsidRPr="00464CAA">
        <w:rPr>
          <w:rFonts w:ascii="Times" w:hAnsi="Times"/>
          <w:sz w:val="28"/>
          <w:szCs w:val="28"/>
        </w:rPr>
        <w:t>) один раз в месяц.</w:t>
      </w:r>
    </w:p>
    <w:p w14:paraId="61F7349C" w14:textId="77777777" w:rsidR="006764A0" w:rsidRPr="006764A0" w:rsidRDefault="006764A0" w:rsidP="00C75ED7">
      <w:pPr>
        <w:spacing w:after="0" w:line="240" w:lineRule="auto"/>
        <w:jc w:val="both"/>
        <w:rPr>
          <w:rFonts w:ascii="Times" w:hAnsi="Times"/>
          <w:sz w:val="12"/>
          <w:szCs w:val="12"/>
        </w:rPr>
      </w:pPr>
    </w:p>
    <w:p w14:paraId="6DDD243F" w14:textId="77777777" w:rsidR="00464CAA" w:rsidRPr="00464CAA" w:rsidRDefault="00464CAA" w:rsidP="00304AFC">
      <w:pPr>
        <w:numPr>
          <w:ilvl w:val="2"/>
          <w:numId w:val="42"/>
        </w:numPr>
        <w:tabs>
          <w:tab w:val="left" w:pos="709"/>
        </w:tabs>
        <w:spacing w:after="0" w:line="240" w:lineRule="auto"/>
        <w:ind w:left="284" w:firstLine="141"/>
        <w:jc w:val="both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t xml:space="preserve">Недостаточность витамина D: рекомендуется прием одной капсулы (0,266 мг </w:t>
      </w:r>
      <w:proofErr w:type="spellStart"/>
      <w:r w:rsidRPr="00464CAA">
        <w:rPr>
          <w:rFonts w:ascii="Times" w:hAnsi="Times"/>
          <w:sz w:val="28"/>
          <w:szCs w:val="28"/>
        </w:rPr>
        <w:t>кальцифедиола</w:t>
      </w:r>
      <w:proofErr w:type="spellEnd"/>
      <w:r w:rsidRPr="00464CAA">
        <w:rPr>
          <w:rFonts w:ascii="Times" w:hAnsi="Times"/>
          <w:sz w:val="28"/>
          <w:szCs w:val="28"/>
        </w:rPr>
        <w:t>) в месяц в течение 2 месяцев.</w:t>
      </w:r>
    </w:p>
    <w:p w14:paraId="57C46ED6" w14:textId="77777777" w:rsidR="00464CAA" w:rsidRPr="00464CAA" w:rsidRDefault="00464CAA" w:rsidP="00304AFC">
      <w:pPr>
        <w:numPr>
          <w:ilvl w:val="2"/>
          <w:numId w:val="42"/>
        </w:numPr>
        <w:tabs>
          <w:tab w:val="left" w:pos="709"/>
        </w:tabs>
        <w:spacing w:after="0" w:line="240" w:lineRule="auto"/>
        <w:ind w:left="284" w:firstLine="141"/>
        <w:jc w:val="both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lastRenderedPageBreak/>
        <w:t xml:space="preserve">Дефицит витамина D: рекомендуется принимать по одной капсуле (0,266 мг </w:t>
      </w:r>
      <w:proofErr w:type="spellStart"/>
      <w:r w:rsidRPr="00464CAA">
        <w:rPr>
          <w:rFonts w:ascii="Times" w:hAnsi="Times"/>
          <w:sz w:val="28"/>
          <w:szCs w:val="28"/>
        </w:rPr>
        <w:t>кальцифедиола</w:t>
      </w:r>
      <w:proofErr w:type="spellEnd"/>
      <w:r w:rsidRPr="00464CAA">
        <w:rPr>
          <w:rFonts w:ascii="Times" w:hAnsi="Times"/>
          <w:sz w:val="28"/>
          <w:szCs w:val="28"/>
        </w:rPr>
        <w:t>) в месяц в течение 4 месяцев.</w:t>
      </w:r>
    </w:p>
    <w:p w14:paraId="25DCDB97" w14:textId="77777777" w:rsidR="00464CAA" w:rsidRDefault="00464CAA" w:rsidP="00304AFC">
      <w:pPr>
        <w:numPr>
          <w:ilvl w:val="2"/>
          <w:numId w:val="42"/>
        </w:numPr>
        <w:tabs>
          <w:tab w:val="left" w:pos="709"/>
        </w:tabs>
        <w:spacing w:after="0" w:line="240" w:lineRule="auto"/>
        <w:ind w:left="284" w:firstLine="141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t xml:space="preserve">В качестве дополнительного лечения остеопороза у пациентов с дефицитом витамина D рекомендуется принимать по одной капсуле (0,266 мг </w:t>
      </w:r>
      <w:proofErr w:type="spellStart"/>
      <w:r w:rsidRPr="00464CAA">
        <w:rPr>
          <w:rFonts w:ascii="Times" w:hAnsi="Times"/>
          <w:sz w:val="28"/>
          <w:szCs w:val="28"/>
        </w:rPr>
        <w:t>кальцифедиола</w:t>
      </w:r>
      <w:proofErr w:type="spellEnd"/>
      <w:r w:rsidRPr="00464CAA">
        <w:rPr>
          <w:rFonts w:ascii="Times" w:hAnsi="Times"/>
          <w:sz w:val="28"/>
          <w:szCs w:val="28"/>
        </w:rPr>
        <w:t>) в месяц в течение 3-4 месяцев.</w:t>
      </w:r>
    </w:p>
    <w:p w14:paraId="63AA3FED" w14:textId="77777777" w:rsidR="006764A0" w:rsidRPr="006764A0" w:rsidRDefault="006764A0" w:rsidP="006764A0">
      <w:pPr>
        <w:tabs>
          <w:tab w:val="left" w:pos="426"/>
        </w:tabs>
        <w:spacing w:after="0" w:line="240" w:lineRule="auto"/>
        <w:rPr>
          <w:rFonts w:ascii="Times" w:hAnsi="Times"/>
          <w:sz w:val="12"/>
          <w:szCs w:val="12"/>
        </w:rPr>
      </w:pPr>
    </w:p>
    <w:p w14:paraId="24E0ED26" w14:textId="77777777" w:rsidR="00464CAA" w:rsidRDefault="00464CAA" w:rsidP="00C75ED7">
      <w:pPr>
        <w:spacing w:after="0" w:line="240" w:lineRule="auto"/>
        <w:jc w:val="both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t>В группах пациентов с высоким риском дефицита витамина D может потребоваться прием более высоких доз или более длительная продолжительность приема, после проведения аналитической проверки степени дефицита и при регулярном мониторинге уровней 25-OH-холекальциферола в сыворотке крови:</w:t>
      </w:r>
    </w:p>
    <w:p w14:paraId="359A3C71" w14:textId="77777777" w:rsidR="006764A0" w:rsidRPr="006764A0" w:rsidRDefault="006764A0" w:rsidP="00C75ED7">
      <w:pPr>
        <w:spacing w:after="0" w:line="240" w:lineRule="auto"/>
        <w:jc w:val="both"/>
        <w:rPr>
          <w:rFonts w:ascii="Times" w:hAnsi="Times"/>
          <w:sz w:val="12"/>
          <w:szCs w:val="12"/>
        </w:rPr>
      </w:pPr>
    </w:p>
    <w:p w14:paraId="63F6949B" w14:textId="77777777" w:rsidR="00464CAA" w:rsidRPr="00464CAA" w:rsidRDefault="00464CAA" w:rsidP="00304AFC">
      <w:pPr>
        <w:numPr>
          <w:ilvl w:val="2"/>
          <w:numId w:val="41"/>
        </w:numPr>
        <w:tabs>
          <w:tab w:val="left" w:pos="709"/>
        </w:tabs>
        <w:spacing w:after="0" w:line="240" w:lineRule="auto"/>
        <w:ind w:left="284" w:firstLine="283"/>
        <w:jc w:val="both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t xml:space="preserve">Почечная остеодистрофия: одна капсула (0,266 мг </w:t>
      </w:r>
      <w:proofErr w:type="spellStart"/>
      <w:r w:rsidRPr="00464CAA">
        <w:rPr>
          <w:rFonts w:ascii="Times" w:hAnsi="Times"/>
          <w:sz w:val="28"/>
          <w:szCs w:val="28"/>
        </w:rPr>
        <w:t>кальцифедиола</w:t>
      </w:r>
      <w:proofErr w:type="spellEnd"/>
      <w:r w:rsidRPr="00464CAA">
        <w:rPr>
          <w:rFonts w:ascii="Times" w:hAnsi="Times"/>
          <w:sz w:val="28"/>
          <w:szCs w:val="28"/>
        </w:rPr>
        <w:t>) еженедельно или один раз в две недели.</w:t>
      </w:r>
    </w:p>
    <w:p w14:paraId="05AFFB4B" w14:textId="77777777" w:rsidR="00464CAA" w:rsidRPr="00464CAA" w:rsidRDefault="00464CAA" w:rsidP="00304AFC">
      <w:pPr>
        <w:numPr>
          <w:ilvl w:val="2"/>
          <w:numId w:val="41"/>
        </w:numPr>
        <w:tabs>
          <w:tab w:val="left" w:pos="709"/>
        </w:tabs>
        <w:spacing w:after="0" w:line="240" w:lineRule="auto"/>
        <w:ind w:left="284" w:firstLine="283"/>
        <w:jc w:val="both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t xml:space="preserve">Заболевания костей, вызванные приемом кортикостероидных препаратов: по одной капсуле (0,266 мг </w:t>
      </w:r>
      <w:proofErr w:type="spellStart"/>
      <w:r w:rsidRPr="00464CAA">
        <w:rPr>
          <w:rFonts w:ascii="Times" w:hAnsi="Times"/>
          <w:sz w:val="28"/>
          <w:szCs w:val="28"/>
        </w:rPr>
        <w:t>кальцифедиола</w:t>
      </w:r>
      <w:proofErr w:type="spellEnd"/>
      <w:r w:rsidRPr="00464CAA">
        <w:rPr>
          <w:rFonts w:ascii="Times" w:hAnsi="Times"/>
          <w:sz w:val="28"/>
          <w:szCs w:val="28"/>
        </w:rPr>
        <w:t>) один раз в месяц.</w:t>
      </w:r>
    </w:p>
    <w:p w14:paraId="4B481ED3" w14:textId="77777777" w:rsidR="00464CAA" w:rsidRDefault="00464CAA" w:rsidP="00304AFC">
      <w:pPr>
        <w:numPr>
          <w:ilvl w:val="2"/>
          <w:numId w:val="41"/>
        </w:numPr>
        <w:tabs>
          <w:tab w:val="left" w:pos="709"/>
        </w:tabs>
        <w:spacing w:after="0" w:line="240" w:lineRule="auto"/>
        <w:ind w:left="284" w:firstLine="283"/>
        <w:jc w:val="both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t xml:space="preserve">Пациенты с высоким дефицитом витамина D или синдромом </w:t>
      </w:r>
      <w:proofErr w:type="spellStart"/>
      <w:r w:rsidRPr="00464CAA">
        <w:rPr>
          <w:rFonts w:ascii="Times" w:hAnsi="Times"/>
          <w:sz w:val="28"/>
          <w:szCs w:val="28"/>
        </w:rPr>
        <w:t>мальабсорбции</w:t>
      </w:r>
      <w:proofErr w:type="spellEnd"/>
      <w:r w:rsidRPr="00464CAA">
        <w:rPr>
          <w:rFonts w:ascii="Times" w:hAnsi="Times"/>
          <w:sz w:val="28"/>
          <w:szCs w:val="28"/>
        </w:rPr>
        <w:t xml:space="preserve">: повторный прием первоначальной дозы через неделю после начала лечения, затем по одной капсуле один раз в месяц в течение четырех месяцев, с контролем концентрации 25-OH-холекальциферола в плазме крови. В зависимости от уровней 25-OH-холекальциферола может потребоваться увеличение дозы или частоты приема.  Как только значение стабилизируется в пределах нормального диапазона, следует прекратить прием или определить иную схему приема. </w:t>
      </w:r>
    </w:p>
    <w:p w14:paraId="790D7D36" w14:textId="77777777" w:rsidR="006764A0" w:rsidRPr="006764A0" w:rsidRDefault="006764A0" w:rsidP="00C75ED7">
      <w:pPr>
        <w:tabs>
          <w:tab w:val="left" w:pos="426"/>
        </w:tabs>
        <w:spacing w:after="0" w:line="240" w:lineRule="auto"/>
        <w:ind w:left="426"/>
        <w:jc w:val="both"/>
        <w:rPr>
          <w:rFonts w:ascii="Times" w:hAnsi="Times"/>
          <w:sz w:val="12"/>
          <w:szCs w:val="12"/>
        </w:rPr>
      </w:pPr>
    </w:p>
    <w:p w14:paraId="28D34F6F" w14:textId="77777777" w:rsidR="00464CAA" w:rsidRDefault="00464CAA" w:rsidP="00C75ED7">
      <w:pPr>
        <w:spacing w:after="0" w:line="240" w:lineRule="auto"/>
        <w:jc w:val="both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t>В общих чертах, дозу нужно сократить при улучшении симптомов, так как необходимость применения препаратов-аналогов витамина D обычно снижается после восстановления костной ткани.</w:t>
      </w:r>
    </w:p>
    <w:p w14:paraId="4D9B1370" w14:textId="77777777" w:rsidR="00464CAA" w:rsidRPr="00464CAA" w:rsidRDefault="00464CAA" w:rsidP="00C75ED7">
      <w:pPr>
        <w:spacing w:after="0" w:line="240" w:lineRule="auto"/>
        <w:jc w:val="both"/>
        <w:rPr>
          <w:rFonts w:ascii="Times" w:hAnsi="Times"/>
          <w:sz w:val="28"/>
          <w:szCs w:val="28"/>
        </w:rPr>
      </w:pPr>
      <w:r w:rsidRPr="00464CAA">
        <w:rPr>
          <w:rFonts w:ascii="Times" w:hAnsi="Times"/>
          <w:sz w:val="28"/>
          <w:szCs w:val="28"/>
        </w:rPr>
        <w:t xml:space="preserve">Следует проверять концентрацию 25-ОН-холекальциферола в сыворотке крови через 3 месяца лечения, чтобы убедиться, что она находится в желаемом или предпочтительном диапазоне (30–60 </w:t>
      </w:r>
      <w:proofErr w:type="spellStart"/>
      <w:r w:rsidRPr="00464CAA">
        <w:rPr>
          <w:rFonts w:ascii="Times" w:hAnsi="Times"/>
          <w:sz w:val="28"/>
          <w:szCs w:val="28"/>
        </w:rPr>
        <w:t>нг</w:t>
      </w:r>
      <w:proofErr w:type="spellEnd"/>
      <w:r w:rsidRPr="00464CAA">
        <w:rPr>
          <w:rFonts w:ascii="Times" w:hAnsi="Times"/>
          <w:sz w:val="28"/>
          <w:szCs w:val="28"/>
        </w:rPr>
        <w:t xml:space="preserve">/мл). После стабилизации значения в пределах указанного диапазона, лечение следует отменить препарат или снизить частоту его приема. </w:t>
      </w:r>
    </w:p>
    <w:p w14:paraId="51459FC8" w14:textId="77777777" w:rsidR="00464CAA" w:rsidRDefault="00464CAA" w:rsidP="00F850FD">
      <w:pPr>
        <w:spacing w:after="0" w:line="240" w:lineRule="auto"/>
        <w:rPr>
          <w:rFonts w:ascii="Times" w:hAnsi="Times"/>
          <w:i/>
          <w:sz w:val="28"/>
          <w:szCs w:val="28"/>
        </w:rPr>
      </w:pPr>
      <w:r w:rsidRPr="00464CAA">
        <w:rPr>
          <w:rFonts w:ascii="Times" w:hAnsi="Times"/>
          <w:i/>
          <w:sz w:val="28"/>
          <w:szCs w:val="28"/>
        </w:rPr>
        <w:t>Пациенты детского возраста</w:t>
      </w:r>
    </w:p>
    <w:p w14:paraId="770F8B4D" w14:textId="77777777" w:rsidR="00DB406A" w:rsidRPr="00844CE8" w:rsidRDefault="00464CAA" w:rsidP="00F850F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4CAA">
        <w:rPr>
          <w:rFonts w:ascii="Times" w:hAnsi="Times"/>
          <w:sz w:val="28"/>
          <w:szCs w:val="28"/>
        </w:rPr>
        <w:t>В случае применения у детей, рекомендуется использовать другие формы препара</w:t>
      </w:r>
      <w:r>
        <w:rPr>
          <w:rFonts w:ascii="Times" w:hAnsi="Times"/>
          <w:sz w:val="28"/>
          <w:szCs w:val="28"/>
        </w:rPr>
        <w:t>та с более низкими дозировками.</w:t>
      </w:r>
    </w:p>
    <w:p w14:paraId="2A600C66" w14:textId="77777777" w:rsidR="005C4B12" w:rsidRPr="00844CE8" w:rsidRDefault="00DB406A" w:rsidP="000E2720">
      <w:pPr>
        <w:spacing w:before="120" w:after="0" w:line="240" w:lineRule="auto"/>
        <w:rPr>
          <w:rFonts w:ascii="Times New Roman" w:hAnsi="Times New Roman"/>
          <w:i/>
          <w:color w:val="000000"/>
          <w:sz w:val="24"/>
        </w:rPr>
      </w:pPr>
      <w:bookmarkStart w:id="3" w:name="2175220275"/>
      <w:bookmarkEnd w:id="2"/>
      <w:r w:rsidRPr="00844C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Метод и путь введения</w:t>
      </w:r>
      <w:r w:rsidRPr="00844CE8">
        <w:rPr>
          <w:rFonts w:ascii="Times New Roman" w:hAnsi="Times New Roman"/>
          <w:i/>
          <w:color w:val="000000"/>
          <w:sz w:val="24"/>
        </w:rPr>
        <w:t xml:space="preserve"> </w:t>
      </w:r>
    </w:p>
    <w:p w14:paraId="41C86F9C" w14:textId="77777777" w:rsidR="00DA6F07" w:rsidRPr="00DA6F07" w:rsidRDefault="00DA6F07" w:rsidP="00F850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bookmarkStart w:id="4" w:name="2175220276"/>
      <w:bookmarkEnd w:id="3"/>
      <w:r w:rsidRPr="00DA6F07">
        <w:rPr>
          <w:rFonts w:ascii="Times New Roman" w:eastAsia="Times New Roman" w:hAnsi="Times New Roman"/>
          <w:sz w:val="28"/>
          <w:szCs w:val="28"/>
          <w:lang w:val="kk-KZ" w:eastAsia="ru-RU"/>
        </w:rPr>
        <w:t>Перорально</w:t>
      </w:r>
    </w:p>
    <w:p w14:paraId="416E833F" w14:textId="77777777" w:rsidR="005C4B12" w:rsidRPr="008372C6" w:rsidRDefault="00DB406A" w:rsidP="000E2720">
      <w:pPr>
        <w:spacing w:before="120" w:after="0" w:line="240" w:lineRule="auto"/>
        <w:rPr>
          <w:rFonts w:ascii="Times New Roman" w:hAnsi="Times New Roman"/>
          <w:i/>
          <w:sz w:val="24"/>
        </w:rPr>
      </w:pPr>
      <w:bookmarkStart w:id="5" w:name="2175220278"/>
      <w:bookmarkEnd w:id="4"/>
      <w:r w:rsidRPr="008372C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Меры, которые необходимо принять в случае передозировки</w:t>
      </w:r>
      <w:r w:rsidRPr="008372C6">
        <w:rPr>
          <w:rFonts w:ascii="Times New Roman" w:hAnsi="Times New Roman"/>
          <w:i/>
          <w:sz w:val="24"/>
        </w:rPr>
        <w:t xml:space="preserve"> </w:t>
      </w:r>
    </w:p>
    <w:p w14:paraId="47ADDDFB" w14:textId="77777777" w:rsidR="007D3803" w:rsidRPr="007D3803" w:rsidRDefault="00DA6F07" w:rsidP="000E2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F0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Симптомы: </w:t>
      </w:r>
      <w:r w:rsidR="007D3803"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 витамина D в высоких дозах или в течение длительного периода времени может вызвать </w:t>
      </w:r>
      <w:proofErr w:type="spellStart"/>
      <w:r w:rsidR="007D3803" w:rsidRPr="007D3803">
        <w:rPr>
          <w:rFonts w:ascii="Times New Roman" w:eastAsia="Times New Roman" w:hAnsi="Times New Roman"/>
          <w:sz w:val="28"/>
          <w:szCs w:val="28"/>
          <w:lang w:eastAsia="ru-RU"/>
        </w:rPr>
        <w:t>гиперкальциемию</w:t>
      </w:r>
      <w:proofErr w:type="spellEnd"/>
      <w:r w:rsidR="007D3803"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7D3803" w:rsidRPr="007D3803">
        <w:rPr>
          <w:rFonts w:ascii="Times New Roman" w:eastAsia="Times New Roman" w:hAnsi="Times New Roman"/>
          <w:sz w:val="28"/>
          <w:szCs w:val="28"/>
          <w:lang w:eastAsia="ru-RU"/>
        </w:rPr>
        <w:t>гиперкальциурию</w:t>
      </w:r>
      <w:proofErr w:type="spellEnd"/>
      <w:r w:rsidR="007D3803"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7D3803" w:rsidRPr="007D3803">
        <w:rPr>
          <w:rFonts w:ascii="Times New Roman" w:eastAsia="Times New Roman" w:hAnsi="Times New Roman"/>
          <w:sz w:val="28"/>
          <w:szCs w:val="28"/>
          <w:lang w:eastAsia="ru-RU"/>
        </w:rPr>
        <w:t>гиперфосфатемию</w:t>
      </w:r>
      <w:proofErr w:type="spellEnd"/>
      <w:r w:rsidR="007D3803"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почечную недостаточность. В качестве ранних симптомов передозировки может появиться слабость, усталость, сонливость, головная боль, анорексия, сухость во рту, металлический привкус, тошнота, рвота, спазмы в животе, полиурия, полидипсия, </w:t>
      </w:r>
      <w:proofErr w:type="spellStart"/>
      <w:r w:rsidR="007D3803" w:rsidRPr="007D3803">
        <w:rPr>
          <w:rFonts w:ascii="Times New Roman" w:eastAsia="Times New Roman" w:hAnsi="Times New Roman"/>
          <w:sz w:val="28"/>
          <w:szCs w:val="28"/>
          <w:lang w:eastAsia="ru-RU"/>
        </w:rPr>
        <w:t>никтурия</w:t>
      </w:r>
      <w:proofErr w:type="spellEnd"/>
      <w:r w:rsidR="007D3803"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, запор или диарея, головокружение, шум в ушах, атаксия, сыпь, </w:t>
      </w:r>
      <w:r w:rsidR="007D3803" w:rsidRPr="007D380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гипотония (особенно у детей), боли в мышцах или костях, а также раздражительность.</w:t>
      </w:r>
    </w:p>
    <w:p w14:paraId="7429B4B5" w14:textId="390AD7F1" w:rsidR="007D3803" w:rsidRPr="007D3803" w:rsidRDefault="007D3803" w:rsidP="000E2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Более поздние симптомы </w:t>
      </w: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гиперкальцемии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включают: насморк, зуд, снижение либидо, </w:t>
      </w: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нефрокальциноз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, почечная недостаточность, остеопороз у взрослых, задержка роста у детей, потеря веса, анемия, конъюнктивит с </w:t>
      </w: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кальцификацией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, фотофобия, панкреатит, повышение уровня азота мочевины в крови (BUN), альбуминурия, </w:t>
      </w: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гиперхолестер</w:t>
      </w:r>
      <w:r w:rsidR="00D26339">
        <w:rPr>
          <w:rFonts w:ascii="Times New Roman" w:eastAsia="Times New Roman" w:hAnsi="Times New Roman"/>
          <w:sz w:val="28"/>
          <w:szCs w:val="28"/>
          <w:lang w:eastAsia="ru-RU"/>
        </w:rPr>
        <w:t>инемия</w:t>
      </w:r>
      <w:proofErr w:type="spellEnd"/>
      <w:r w:rsidR="00D26339">
        <w:rPr>
          <w:rFonts w:ascii="Times New Roman" w:eastAsia="Times New Roman" w:hAnsi="Times New Roman"/>
          <w:sz w:val="28"/>
          <w:szCs w:val="28"/>
          <w:lang w:eastAsia="ru-RU"/>
        </w:rPr>
        <w:t xml:space="preserve">, повышение </w:t>
      </w:r>
      <w:proofErr w:type="spellStart"/>
      <w:r w:rsidR="00D26339">
        <w:rPr>
          <w:rFonts w:ascii="Times New Roman" w:eastAsia="Times New Roman" w:hAnsi="Times New Roman"/>
          <w:sz w:val="28"/>
          <w:szCs w:val="28"/>
          <w:lang w:eastAsia="ru-RU"/>
        </w:rPr>
        <w:t>трансаминаз</w:t>
      </w:r>
      <w:proofErr w:type="spellEnd"/>
      <w:r w:rsidR="00D2633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АЛТ и АСТ), гипертермия, </w:t>
      </w: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генерализованная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кальцификация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сосудов, судороги, </w:t>
      </w: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кальцификация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 мягких тканей. Редко у пациентов могут развиться гипертония или психотические симптомы; щелочная фосфатаза сыворотки крови может понизиться; Дисбаланс электролитов в сочетании с умеренным ацидозом может привести к нарушениям сердечного ритма. </w:t>
      </w:r>
    </w:p>
    <w:p w14:paraId="7F066B60" w14:textId="77777777" w:rsidR="007D3803" w:rsidRPr="00C75ED7" w:rsidRDefault="007D3803" w:rsidP="00F850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В наиболее серьезных случаях, когда содержание кальция в сыворотке крови превышает 12 мг/</w:t>
      </w: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дл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, возможны обмороки, метаболический ацидоз и кома. Не смотря на то что симптомы передозировки обычно обратимы, </w:t>
      </w:r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передозировка может привести к почечной или сердечной недостаточности.</w:t>
      </w:r>
    </w:p>
    <w:p w14:paraId="34524A2C" w14:textId="77777777" w:rsidR="007D3803" w:rsidRPr="00C75ED7" w:rsidRDefault="007D3803" w:rsidP="00F850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Принято считать, что уровни 25-ОН-холекальциферола в сыворотке крови выше 150 </w:t>
      </w:r>
      <w:proofErr w:type="spellStart"/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нг</w:t>
      </w:r>
      <w:proofErr w:type="spellEnd"/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/мл могут привести к увеличению частоты побочных эффектов.</w:t>
      </w:r>
    </w:p>
    <w:p w14:paraId="53F43D0B" w14:textId="77777777" w:rsidR="007D3803" w:rsidRPr="00C75ED7" w:rsidRDefault="007D3803" w:rsidP="00F850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Повышенное содержание кальция, фосфата, альбумина и азота мочевины в крови, а также холестерина и </w:t>
      </w:r>
      <w:proofErr w:type="spellStart"/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трансаминаз</w:t>
      </w:r>
      <w:proofErr w:type="spellEnd"/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 xml:space="preserve"> крови характерно для передозировки </w:t>
      </w:r>
      <w:proofErr w:type="spellStart"/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кальцифедиолом</w:t>
      </w:r>
      <w:proofErr w:type="spellEnd"/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BD6BEA3" w14:textId="6E1AA2D2" w:rsidR="007D3803" w:rsidRPr="00C75ED7" w:rsidRDefault="007D3803" w:rsidP="000978BE">
      <w:pPr>
        <w:spacing w:before="120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5ED7">
        <w:rPr>
          <w:rFonts w:ascii="Times New Roman" w:eastAsia="Times New Roman" w:hAnsi="Times New Roman"/>
          <w:i/>
          <w:sz w:val="28"/>
          <w:szCs w:val="28"/>
          <w:lang w:eastAsia="ru-RU"/>
        </w:rPr>
        <w:t>Лечение:</w:t>
      </w:r>
      <w:r w:rsidR="000978BE" w:rsidRPr="00C75ED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 xml:space="preserve">Лечение передозировки </w:t>
      </w:r>
      <w:proofErr w:type="spellStart"/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кальцифедиолом</w:t>
      </w:r>
      <w:proofErr w:type="spellEnd"/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включает:</w:t>
      </w:r>
    </w:p>
    <w:p w14:paraId="585C65C7" w14:textId="77777777" w:rsidR="007D3803" w:rsidRPr="00C75ED7" w:rsidRDefault="007D3803" w:rsidP="00C75ED7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Прекращение приема (</w:t>
      </w:r>
      <w:proofErr w:type="spellStart"/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кальцифедиола</w:t>
      </w:r>
      <w:proofErr w:type="spellEnd"/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) и любой принимаемой добавки с содержанием кальция.</w:t>
      </w:r>
    </w:p>
    <w:p w14:paraId="6BB97914" w14:textId="77777777" w:rsidR="007D3803" w:rsidRPr="00C75ED7" w:rsidRDefault="007D3803" w:rsidP="00C75ED7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Соблюдение диеты с низким содержанием кальция. Для улучшения экскреции кальция целесообразен прием больших объемов жидкости, как перорально, так и парентерально. При необходимости назначают стероиды и индуцированный форсированный диурез с применением петлевых диуретиков, таких как фуросемид.</w:t>
      </w:r>
    </w:p>
    <w:p w14:paraId="4566E2C9" w14:textId="77777777" w:rsidR="007D3803" w:rsidRPr="007D3803" w:rsidRDefault="007D3803" w:rsidP="00C75ED7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после приема препарата не прошло более 2 часов, рекомендуется опорожнить желудок и вызвать рвоту.  Если витамин D уже прошел через желудок, можно использовать слабительное (парафин или минеральное масло). При абсорбции витамина D, можно выполнить гемодиализ или </w:t>
      </w:r>
      <w:proofErr w:type="spellStart"/>
      <w:r w:rsidRPr="00C75ED7">
        <w:rPr>
          <w:rFonts w:ascii="Times New Roman" w:eastAsia="Times New Roman" w:hAnsi="Times New Roman"/>
          <w:sz w:val="28"/>
          <w:szCs w:val="28"/>
          <w:lang w:eastAsia="ru-RU"/>
        </w:rPr>
        <w:t>перитонеальный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 диализ с раствором диализа без кальция.  </w:t>
      </w:r>
    </w:p>
    <w:p w14:paraId="17170FDD" w14:textId="77777777" w:rsidR="007D3803" w:rsidRPr="007D3803" w:rsidRDefault="007D3803" w:rsidP="000E2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Гиперкальциемия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, вызванная длительным приемом </w:t>
      </w: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кальцифедиола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, сохраняется приблизительно в течение 4 недель после прекращения лечения. Признаки и симптомы </w:t>
      </w: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гиперкальциемии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 обычно обратимы. Однако метастатическая </w:t>
      </w:r>
      <w:proofErr w:type="spellStart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>кальцификация</w:t>
      </w:r>
      <w:proofErr w:type="spellEnd"/>
      <w:r w:rsidRPr="007D3803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привести к серьезной почечной или сердечной недостаточности, и даже к летальному исходу. </w:t>
      </w:r>
    </w:p>
    <w:p w14:paraId="285EBD0C" w14:textId="77777777" w:rsidR="00D26339" w:rsidRDefault="00D26339" w:rsidP="00F850F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6" w:name="2175220282"/>
      <w:bookmarkEnd w:id="5"/>
    </w:p>
    <w:p w14:paraId="27C3F1DD" w14:textId="77777777" w:rsidR="001937AD" w:rsidRPr="00844CE8" w:rsidRDefault="001937AD" w:rsidP="000E272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Описание нежелательных реакций</w:t>
      </w:r>
      <w:r w:rsidR="005C4B12"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844CE8">
        <w:rPr>
          <w:rFonts w:ascii="Times New Roman" w:hAnsi="Times New Roman"/>
          <w:b/>
          <w:color w:val="000000"/>
          <w:sz w:val="28"/>
          <w:szCs w:val="28"/>
        </w:rPr>
        <w:t>которые проявляются при стандартном применении ЛП и меры, которые следует принять в этом случае (при необхо</w:t>
      </w:r>
      <w:r w:rsidR="005C4B12" w:rsidRPr="00844CE8">
        <w:rPr>
          <w:rFonts w:ascii="Times New Roman" w:hAnsi="Times New Roman"/>
          <w:b/>
          <w:color w:val="000000"/>
          <w:sz w:val="28"/>
          <w:szCs w:val="28"/>
        </w:rPr>
        <w:t>димости)</w:t>
      </w:r>
    </w:p>
    <w:bookmarkEnd w:id="6"/>
    <w:p w14:paraId="2322716C" w14:textId="77777777" w:rsidR="00271B94" w:rsidRPr="00271B94" w:rsidRDefault="00271B94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1B94">
        <w:rPr>
          <w:rFonts w:ascii="Times New Roman" w:hAnsi="Times New Roman"/>
          <w:sz w:val="28"/>
          <w:szCs w:val="28"/>
        </w:rPr>
        <w:t xml:space="preserve">Нежелательные реакции на </w:t>
      </w:r>
      <w:proofErr w:type="spellStart"/>
      <w:r w:rsidRPr="00271B94">
        <w:rPr>
          <w:rFonts w:ascii="Times New Roman" w:hAnsi="Times New Roman"/>
          <w:sz w:val="28"/>
          <w:szCs w:val="28"/>
        </w:rPr>
        <w:t>кальцифедиол</w:t>
      </w:r>
      <w:proofErr w:type="spellEnd"/>
      <w:r w:rsidRPr="00271B94">
        <w:rPr>
          <w:rFonts w:ascii="Times New Roman" w:hAnsi="Times New Roman"/>
          <w:sz w:val="28"/>
          <w:szCs w:val="28"/>
        </w:rPr>
        <w:t xml:space="preserve">, как правило, нечастые (от ≥ 1/1, 000 до &lt;1/100), но иногда умеренно выраженные. </w:t>
      </w:r>
    </w:p>
    <w:p w14:paraId="7B65F04E" w14:textId="5BB14F64" w:rsidR="00271B94" w:rsidRDefault="00271B94" w:rsidP="00151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B94">
        <w:rPr>
          <w:rFonts w:ascii="Times New Roman" w:hAnsi="Times New Roman"/>
          <w:sz w:val="28"/>
          <w:szCs w:val="28"/>
        </w:rPr>
        <w:t>Наиболее значим</w:t>
      </w:r>
      <w:r w:rsidR="00FF6D21">
        <w:rPr>
          <w:rFonts w:ascii="Times New Roman" w:hAnsi="Times New Roman"/>
          <w:sz w:val="28"/>
          <w:szCs w:val="28"/>
        </w:rPr>
        <w:t>ым</w:t>
      </w:r>
      <w:r w:rsidRPr="00271B94">
        <w:rPr>
          <w:rFonts w:ascii="Times New Roman" w:hAnsi="Times New Roman"/>
          <w:sz w:val="28"/>
          <w:szCs w:val="28"/>
        </w:rPr>
        <w:t xml:space="preserve"> побочным эффектом является чрезмерное потребление витамина D, то есть это часто связано с передозировкой или длительным лечением, особенно в сочетании с высокими дозами кальция. Дозы аналогов витамина D, необходимые для лечения гипервитаминоза, значительно отличаются между пациентами.  Наиболее распространенные побочные реакции обусловлены </w:t>
      </w:r>
      <w:proofErr w:type="spellStart"/>
      <w:r w:rsidRPr="00271B94">
        <w:rPr>
          <w:rFonts w:ascii="Times New Roman" w:hAnsi="Times New Roman"/>
          <w:sz w:val="28"/>
          <w:szCs w:val="28"/>
        </w:rPr>
        <w:t>гиперкальциемией</w:t>
      </w:r>
      <w:proofErr w:type="spellEnd"/>
      <w:r w:rsidRPr="00271B94">
        <w:rPr>
          <w:rFonts w:ascii="Times New Roman" w:hAnsi="Times New Roman"/>
          <w:sz w:val="28"/>
          <w:szCs w:val="28"/>
        </w:rPr>
        <w:t>, которая может возникать изнача</w:t>
      </w:r>
      <w:r w:rsidR="00304AFC">
        <w:rPr>
          <w:rFonts w:ascii="Times New Roman" w:hAnsi="Times New Roman"/>
          <w:sz w:val="28"/>
          <w:szCs w:val="28"/>
        </w:rPr>
        <w:t>льно или на более позднем этапе.</w:t>
      </w:r>
    </w:p>
    <w:p w14:paraId="76CB83D0" w14:textId="77777777" w:rsidR="00151233" w:rsidRPr="00151233" w:rsidRDefault="00151233" w:rsidP="00304AFC">
      <w:pPr>
        <w:spacing w:before="120" w:after="0" w:line="240" w:lineRule="auto"/>
        <w:rPr>
          <w:rFonts w:ascii="Times New Roman" w:hAnsi="Times New Roman"/>
          <w:i/>
          <w:sz w:val="28"/>
          <w:szCs w:val="28"/>
        </w:rPr>
      </w:pPr>
      <w:r w:rsidRPr="00151233">
        <w:rPr>
          <w:rFonts w:ascii="Times New Roman" w:hAnsi="Times New Roman"/>
          <w:i/>
          <w:sz w:val="28"/>
          <w:szCs w:val="28"/>
        </w:rPr>
        <w:t>Нарушения со стороны иммунной системы:</w:t>
      </w:r>
    </w:p>
    <w:p w14:paraId="788CC0E3" w14:textId="77777777" w:rsidR="00151233" w:rsidRPr="00151233" w:rsidRDefault="00151233" w:rsidP="00151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1233">
        <w:rPr>
          <w:rFonts w:ascii="Times New Roman" w:hAnsi="Times New Roman"/>
          <w:sz w:val="28"/>
          <w:szCs w:val="28"/>
        </w:rPr>
        <w:t>Частота неизвестна: Реакции гиперчувствительности (такие как анафилаксия, ангионевротический отек, одышка, сыпь, локальный отек / местный отек и эритема).</w:t>
      </w:r>
    </w:p>
    <w:p w14:paraId="10C0E9C2" w14:textId="77777777" w:rsidR="00271B94" w:rsidRPr="008C4AB9" w:rsidRDefault="00271B94" w:rsidP="00304AFC">
      <w:pPr>
        <w:spacing w:before="60" w:after="0" w:line="240" w:lineRule="auto"/>
        <w:rPr>
          <w:rFonts w:ascii="Times New Roman" w:hAnsi="Times New Roman"/>
          <w:i/>
          <w:sz w:val="28"/>
          <w:szCs w:val="28"/>
        </w:rPr>
      </w:pPr>
      <w:r w:rsidRPr="008C4AB9">
        <w:rPr>
          <w:rFonts w:ascii="Times New Roman" w:hAnsi="Times New Roman"/>
          <w:i/>
          <w:sz w:val="28"/>
          <w:szCs w:val="28"/>
        </w:rPr>
        <w:t>Нарушения со стороны эндокринной системы:</w:t>
      </w:r>
    </w:p>
    <w:p w14:paraId="53D4700C" w14:textId="77777777" w:rsidR="00271B94" w:rsidRPr="00271B94" w:rsidRDefault="002D5F50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71B94" w:rsidRPr="00271B94">
        <w:rPr>
          <w:rFonts w:ascii="Times New Roman" w:hAnsi="Times New Roman"/>
          <w:sz w:val="28"/>
          <w:szCs w:val="28"/>
        </w:rPr>
        <w:t xml:space="preserve">анкреатит, среди поздних симптомов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гиперкальциемии</w:t>
      </w:r>
      <w:proofErr w:type="spellEnd"/>
    </w:p>
    <w:p w14:paraId="17DB5B85" w14:textId="77777777" w:rsidR="00271B94" w:rsidRPr="008C4AB9" w:rsidRDefault="00271B94" w:rsidP="00304AFC">
      <w:pPr>
        <w:spacing w:before="60" w:after="0" w:line="240" w:lineRule="auto"/>
        <w:rPr>
          <w:rFonts w:ascii="Times New Roman" w:hAnsi="Times New Roman"/>
          <w:i/>
          <w:sz w:val="28"/>
          <w:szCs w:val="28"/>
        </w:rPr>
      </w:pPr>
      <w:r w:rsidRPr="008C4AB9">
        <w:rPr>
          <w:rFonts w:ascii="Times New Roman" w:hAnsi="Times New Roman"/>
          <w:i/>
          <w:sz w:val="28"/>
          <w:szCs w:val="28"/>
        </w:rPr>
        <w:t>Нарушения питания и обмена веществ:</w:t>
      </w:r>
    </w:p>
    <w:p w14:paraId="5552CB04" w14:textId="5D9E83B2" w:rsidR="00271B94" w:rsidRPr="00271B94" w:rsidRDefault="00151233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1233">
        <w:rPr>
          <w:rFonts w:ascii="Times New Roman" w:hAnsi="Times New Roman"/>
          <w:sz w:val="28"/>
          <w:szCs w:val="28"/>
        </w:rPr>
        <w:t xml:space="preserve">Частота неизвестна: </w:t>
      </w:r>
      <w:r w:rsidR="002D5F50">
        <w:rPr>
          <w:rFonts w:ascii="Times New Roman" w:hAnsi="Times New Roman"/>
          <w:sz w:val="28"/>
          <w:szCs w:val="28"/>
        </w:rPr>
        <w:t>п</w:t>
      </w:r>
      <w:r w:rsidR="00271B94" w:rsidRPr="00271B94">
        <w:rPr>
          <w:rFonts w:ascii="Times New Roman" w:hAnsi="Times New Roman"/>
          <w:sz w:val="28"/>
          <w:szCs w:val="28"/>
        </w:rPr>
        <w:t xml:space="preserve">овышение концентрация азота мочевины в крови (BUN), альбуминурия,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гиперхолестеринемия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гиперкальциемия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гиперкальциурия</w:t>
      </w:r>
      <w:proofErr w:type="spellEnd"/>
    </w:p>
    <w:p w14:paraId="64434027" w14:textId="77777777" w:rsidR="00271B94" w:rsidRPr="008C4AB9" w:rsidRDefault="00271B94" w:rsidP="00304AFC">
      <w:pPr>
        <w:spacing w:before="60" w:after="0" w:line="240" w:lineRule="auto"/>
        <w:rPr>
          <w:rFonts w:ascii="Times New Roman" w:hAnsi="Times New Roman"/>
          <w:i/>
          <w:sz w:val="28"/>
          <w:szCs w:val="28"/>
        </w:rPr>
      </w:pPr>
      <w:r w:rsidRPr="008C4AB9">
        <w:rPr>
          <w:rFonts w:ascii="Times New Roman" w:hAnsi="Times New Roman"/>
          <w:i/>
          <w:sz w:val="28"/>
          <w:szCs w:val="28"/>
        </w:rPr>
        <w:t>Нарушения со стороны нервной системы:</w:t>
      </w:r>
    </w:p>
    <w:p w14:paraId="030100FF" w14:textId="77777777" w:rsidR="00271B94" w:rsidRPr="00271B94" w:rsidRDefault="002D5F50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71B94" w:rsidRPr="00271B94">
        <w:rPr>
          <w:rFonts w:ascii="Times New Roman" w:hAnsi="Times New Roman"/>
          <w:sz w:val="28"/>
          <w:szCs w:val="28"/>
        </w:rPr>
        <w:t xml:space="preserve">ри умеренной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гиперкальциемии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могут появиться следующие симптомы: слабость, утомляемость, сонливость, головная боль, раздражительность.</w:t>
      </w:r>
    </w:p>
    <w:p w14:paraId="588FEE88" w14:textId="77777777" w:rsidR="00271B94" w:rsidRPr="008C4AB9" w:rsidRDefault="00271B94" w:rsidP="00304AFC">
      <w:pPr>
        <w:spacing w:before="60" w:after="0" w:line="240" w:lineRule="auto"/>
        <w:rPr>
          <w:rFonts w:ascii="Times New Roman" w:hAnsi="Times New Roman"/>
          <w:i/>
          <w:sz w:val="28"/>
          <w:szCs w:val="28"/>
        </w:rPr>
      </w:pPr>
      <w:r w:rsidRPr="008C4AB9">
        <w:rPr>
          <w:rFonts w:ascii="Times New Roman" w:hAnsi="Times New Roman"/>
          <w:i/>
          <w:sz w:val="28"/>
          <w:szCs w:val="28"/>
        </w:rPr>
        <w:t>Нарушения со стороны органа зрения:</w:t>
      </w:r>
    </w:p>
    <w:p w14:paraId="24BEC495" w14:textId="7629EDB9" w:rsidR="00271B94" w:rsidRPr="00271B94" w:rsidRDefault="00304AFC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Редко:</w:t>
      </w:r>
      <w:r w:rsidRPr="00271B94">
        <w:rPr>
          <w:rFonts w:ascii="Times New Roman" w:hAnsi="Times New Roman"/>
          <w:sz w:val="28"/>
          <w:szCs w:val="28"/>
        </w:rPr>
        <w:t xml:space="preserve"> </w:t>
      </w:r>
      <w:r w:rsidR="00271B94" w:rsidRPr="00271B94">
        <w:rPr>
          <w:rFonts w:ascii="Times New Roman" w:hAnsi="Times New Roman"/>
          <w:sz w:val="28"/>
          <w:szCs w:val="28"/>
        </w:rPr>
        <w:t xml:space="preserve">при очень высоких дозах могут возникать светобоязнь и конъюнктивит с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кальцификацией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роговицы.</w:t>
      </w:r>
    </w:p>
    <w:p w14:paraId="45884532" w14:textId="77777777" w:rsidR="00271B94" w:rsidRPr="008C4AB9" w:rsidRDefault="00271B94" w:rsidP="00304AFC">
      <w:pPr>
        <w:spacing w:before="60" w:after="0" w:line="240" w:lineRule="auto"/>
        <w:rPr>
          <w:rFonts w:ascii="Times New Roman" w:hAnsi="Times New Roman"/>
          <w:i/>
          <w:sz w:val="28"/>
          <w:szCs w:val="28"/>
        </w:rPr>
      </w:pPr>
      <w:r w:rsidRPr="008C4AB9">
        <w:rPr>
          <w:rFonts w:ascii="Times New Roman" w:hAnsi="Times New Roman"/>
          <w:i/>
          <w:sz w:val="28"/>
          <w:szCs w:val="28"/>
        </w:rPr>
        <w:t>Нарушения со стороны сердца:</w:t>
      </w:r>
    </w:p>
    <w:p w14:paraId="17D36A6E" w14:textId="77777777" w:rsidR="00271B94" w:rsidRPr="00271B94" w:rsidRDefault="002D5F50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71B94" w:rsidRPr="00271B94">
        <w:rPr>
          <w:rFonts w:ascii="Times New Roman" w:hAnsi="Times New Roman"/>
          <w:sz w:val="28"/>
          <w:szCs w:val="28"/>
        </w:rPr>
        <w:t xml:space="preserve">ри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гиперкальциемии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могут возникать нарушения сердечного ритма.</w:t>
      </w:r>
    </w:p>
    <w:p w14:paraId="24A6BA94" w14:textId="77777777" w:rsidR="00271B94" w:rsidRPr="008C4AB9" w:rsidRDefault="00271B94" w:rsidP="00304AFC">
      <w:pPr>
        <w:spacing w:before="60" w:after="0" w:line="240" w:lineRule="auto"/>
        <w:rPr>
          <w:rFonts w:ascii="Times New Roman" w:hAnsi="Times New Roman"/>
          <w:i/>
          <w:sz w:val="28"/>
          <w:szCs w:val="28"/>
        </w:rPr>
      </w:pPr>
      <w:r w:rsidRPr="008C4AB9">
        <w:rPr>
          <w:rFonts w:ascii="Times New Roman" w:hAnsi="Times New Roman"/>
          <w:i/>
          <w:sz w:val="28"/>
          <w:szCs w:val="28"/>
        </w:rPr>
        <w:t>Нарушения со стороны желудочно-кишечного тракта:</w:t>
      </w:r>
    </w:p>
    <w:p w14:paraId="2B509795" w14:textId="77777777" w:rsidR="00271B94" w:rsidRPr="00271B94" w:rsidRDefault="002D5F50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271B94" w:rsidRPr="00271B94">
        <w:rPr>
          <w:rFonts w:ascii="Times New Roman" w:hAnsi="Times New Roman"/>
          <w:sz w:val="28"/>
          <w:szCs w:val="28"/>
        </w:rPr>
        <w:t xml:space="preserve">ошнота, рвота, сухость во рту, запор, нарушение вкуса, металлический привкус, спазмы в животе. Прогрессирование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гиперкальциемии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может послужить поводом развития анорексии.</w:t>
      </w:r>
    </w:p>
    <w:p w14:paraId="4DD40479" w14:textId="77777777" w:rsidR="00271B94" w:rsidRPr="008C4AB9" w:rsidRDefault="00271B94" w:rsidP="00304AFC">
      <w:pPr>
        <w:spacing w:before="60" w:after="0" w:line="240" w:lineRule="auto"/>
        <w:rPr>
          <w:rFonts w:ascii="Times New Roman" w:hAnsi="Times New Roman"/>
          <w:i/>
          <w:sz w:val="28"/>
          <w:szCs w:val="28"/>
        </w:rPr>
      </w:pPr>
      <w:r w:rsidRPr="008C4AB9">
        <w:rPr>
          <w:rFonts w:ascii="Times New Roman" w:hAnsi="Times New Roman"/>
          <w:i/>
          <w:sz w:val="28"/>
          <w:szCs w:val="28"/>
        </w:rPr>
        <w:t>Нарушения со стороны печени и желчевыводящих путей:</w:t>
      </w:r>
    </w:p>
    <w:p w14:paraId="59BC6B86" w14:textId="77777777" w:rsidR="00271B94" w:rsidRPr="00271B94" w:rsidRDefault="002D5F50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71B94" w:rsidRPr="00271B94">
        <w:rPr>
          <w:rFonts w:ascii="Times New Roman" w:hAnsi="Times New Roman"/>
          <w:sz w:val="28"/>
          <w:szCs w:val="28"/>
        </w:rPr>
        <w:t xml:space="preserve">ысокие уровни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кальциемии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могут привести к увеличению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трансаминазы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(АСТ и АЛТ).</w:t>
      </w:r>
    </w:p>
    <w:p w14:paraId="2C75DE28" w14:textId="77777777" w:rsidR="00271B94" w:rsidRPr="008C4AB9" w:rsidRDefault="00271B94" w:rsidP="00304AFC">
      <w:pPr>
        <w:spacing w:before="60" w:after="0" w:line="240" w:lineRule="auto"/>
        <w:rPr>
          <w:rFonts w:ascii="Times New Roman" w:hAnsi="Times New Roman"/>
          <w:i/>
          <w:sz w:val="28"/>
          <w:szCs w:val="28"/>
        </w:rPr>
      </w:pPr>
      <w:r w:rsidRPr="008C4AB9">
        <w:rPr>
          <w:rFonts w:ascii="Times New Roman" w:hAnsi="Times New Roman"/>
          <w:i/>
          <w:sz w:val="28"/>
          <w:szCs w:val="28"/>
        </w:rPr>
        <w:t>Нарушения со стороны скелетно-мышечной и соединительной ткани:</w:t>
      </w:r>
    </w:p>
    <w:p w14:paraId="40D85C47" w14:textId="77777777" w:rsidR="00271B94" w:rsidRPr="00271B94" w:rsidRDefault="002D5F50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271B94" w:rsidRPr="00271B94">
        <w:rPr>
          <w:rFonts w:ascii="Times New Roman" w:hAnsi="Times New Roman"/>
          <w:sz w:val="28"/>
          <w:szCs w:val="28"/>
        </w:rPr>
        <w:t xml:space="preserve">ожет возникнуть боль в костях и мышцах на ранних этапах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гиперкальциемии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кальцификации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в мягких тканях.</w:t>
      </w:r>
    </w:p>
    <w:p w14:paraId="4758EF07" w14:textId="77777777" w:rsidR="00271B94" w:rsidRPr="008C4AB9" w:rsidRDefault="00271B94" w:rsidP="00304AFC">
      <w:pPr>
        <w:spacing w:before="60" w:after="0" w:line="240" w:lineRule="auto"/>
        <w:rPr>
          <w:rFonts w:ascii="Times New Roman" w:hAnsi="Times New Roman"/>
          <w:i/>
          <w:sz w:val="28"/>
          <w:szCs w:val="28"/>
        </w:rPr>
      </w:pPr>
      <w:r w:rsidRPr="008C4AB9">
        <w:rPr>
          <w:rFonts w:ascii="Times New Roman" w:hAnsi="Times New Roman"/>
          <w:i/>
          <w:sz w:val="28"/>
          <w:szCs w:val="28"/>
        </w:rPr>
        <w:t>Нарушения со стороны почек и мочевыводящих путей:</w:t>
      </w:r>
    </w:p>
    <w:p w14:paraId="39D6B436" w14:textId="77777777" w:rsidR="00271B94" w:rsidRPr="00271B94" w:rsidRDefault="002D5F50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71B94" w:rsidRPr="00271B94">
        <w:rPr>
          <w:rFonts w:ascii="Times New Roman" w:hAnsi="Times New Roman"/>
          <w:sz w:val="28"/>
          <w:szCs w:val="28"/>
        </w:rPr>
        <w:t xml:space="preserve">роявлениями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гиперкальциемии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являются: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нефрокальциноз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и ухудшение функции почек (с полиурией, полидипсией, </w:t>
      </w:r>
      <w:proofErr w:type="spellStart"/>
      <w:r w:rsidR="00271B94" w:rsidRPr="00271B94">
        <w:rPr>
          <w:rFonts w:ascii="Times New Roman" w:hAnsi="Times New Roman"/>
          <w:sz w:val="28"/>
          <w:szCs w:val="28"/>
        </w:rPr>
        <w:t>ноктурией</w:t>
      </w:r>
      <w:proofErr w:type="spellEnd"/>
      <w:r w:rsidR="00271B94" w:rsidRPr="00271B94">
        <w:rPr>
          <w:rFonts w:ascii="Times New Roman" w:hAnsi="Times New Roman"/>
          <w:sz w:val="28"/>
          <w:szCs w:val="28"/>
        </w:rPr>
        <w:t xml:space="preserve"> и протеинурией).</w:t>
      </w:r>
    </w:p>
    <w:p w14:paraId="7CCC5F32" w14:textId="77777777" w:rsidR="00271B94" w:rsidRPr="00304AFC" w:rsidRDefault="00271B94" w:rsidP="00304AFC">
      <w:pPr>
        <w:spacing w:before="120" w:after="0" w:line="240" w:lineRule="auto"/>
        <w:rPr>
          <w:rFonts w:ascii="Times New Roman" w:hAnsi="Times New Roman"/>
          <w:i/>
          <w:sz w:val="28"/>
          <w:szCs w:val="28"/>
        </w:rPr>
      </w:pPr>
      <w:r w:rsidRPr="00304AFC">
        <w:rPr>
          <w:rFonts w:ascii="Times New Roman" w:hAnsi="Times New Roman"/>
          <w:i/>
          <w:sz w:val="28"/>
          <w:szCs w:val="28"/>
        </w:rPr>
        <w:lastRenderedPageBreak/>
        <w:t>Осложнения общего характера и реакции в месте введения:</w:t>
      </w:r>
    </w:p>
    <w:p w14:paraId="476CEA5D" w14:textId="77777777" w:rsidR="00271B94" w:rsidRPr="00271B94" w:rsidRDefault="00271B94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1B94">
        <w:rPr>
          <w:rFonts w:ascii="Times New Roman" w:hAnsi="Times New Roman"/>
          <w:sz w:val="28"/>
          <w:szCs w:val="28"/>
        </w:rPr>
        <w:t xml:space="preserve">Более поздние симптомы </w:t>
      </w:r>
      <w:proofErr w:type="spellStart"/>
      <w:r w:rsidRPr="00271B94">
        <w:rPr>
          <w:rFonts w:ascii="Times New Roman" w:hAnsi="Times New Roman"/>
          <w:sz w:val="28"/>
          <w:szCs w:val="28"/>
        </w:rPr>
        <w:t>гиперкальциемии</w:t>
      </w:r>
      <w:proofErr w:type="spellEnd"/>
      <w:r w:rsidRPr="00271B94">
        <w:rPr>
          <w:rFonts w:ascii="Times New Roman" w:hAnsi="Times New Roman"/>
          <w:sz w:val="28"/>
          <w:szCs w:val="28"/>
        </w:rPr>
        <w:t xml:space="preserve"> включают: </w:t>
      </w:r>
      <w:proofErr w:type="spellStart"/>
      <w:r w:rsidRPr="00271B94">
        <w:rPr>
          <w:rFonts w:ascii="Times New Roman" w:hAnsi="Times New Roman"/>
          <w:sz w:val="28"/>
          <w:szCs w:val="28"/>
        </w:rPr>
        <w:t>ринорею</w:t>
      </w:r>
      <w:proofErr w:type="spellEnd"/>
      <w:r w:rsidRPr="00271B94">
        <w:rPr>
          <w:rFonts w:ascii="Times New Roman" w:hAnsi="Times New Roman"/>
          <w:sz w:val="28"/>
          <w:szCs w:val="28"/>
        </w:rPr>
        <w:t>, зуд, гипертермию, снижение либидо.</w:t>
      </w:r>
    </w:p>
    <w:p w14:paraId="3867CC86" w14:textId="77777777" w:rsidR="005D2A7D" w:rsidRPr="005D2A7D" w:rsidRDefault="005D2A7D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6E2C48" w14:textId="77777777" w:rsidR="000E2720" w:rsidRPr="006703A5" w:rsidRDefault="000E2720" w:rsidP="000E2720">
      <w:pPr>
        <w:pStyle w:val="ad"/>
        <w:jc w:val="both"/>
        <w:rPr>
          <w:rFonts w:ascii="Times New Roman" w:hAnsi="Times New Roman"/>
          <w:i/>
          <w:color w:val="000000"/>
          <w:sz w:val="28"/>
        </w:rPr>
      </w:pPr>
      <w:r w:rsidRPr="00844CE8">
        <w:rPr>
          <w:rFonts w:ascii="Times New Roman" w:hAnsi="Times New Roman"/>
          <w:b/>
          <w:color w:val="000000"/>
          <w:sz w:val="28"/>
        </w:rPr>
        <w:t xml:space="preserve">При возникновении </w:t>
      </w:r>
      <w:r>
        <w:rPr>
          <w:rFonts w:ascii="Times New Roman" w:hAnsi="Times New Roman"/>
          <w:b/>
          <w:color w:val="000000"/>
          <w:sz w:val="28"/>
        </w:rPr>
        <w:t>нежелательных</w:t>
      </w:r>
      <w:r w:rsidRPr="00844CE8">
        <w:rPr>
          <w:rFonts w:ascii="Times New Roman" w:hAnsi="Times New Roman"/>
          <w:b/>
          <w:color w:val="000000"/>
          <w:sz w:val="28"/>
        </w:rPr>
        <w:t xml:space="preserve">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 </w:t>
      </w:r>
    </w:p>
    <w:p w14:paraId="11A5852D" w14:textId="77777777" w:rsidR="000E2720" w:rsidRPr="006C577B" w:rsidRDefault="000E2720" w:rsidP="000E27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9DE">
        <w:rPr>
          <w:rFonts w:ascii="Times New Roman" w:hAnsi="Times New Roman"/>
          <w:sz w:val="28"/>
          <w:szCs w:val="28"/>
        </w:rPr>
        <w:t xml:space="preserve">РГП на ПХВ «Национальный Центр экспертизы лекарственных средств и медицинских изделий» </w:t>
      </w:r>
      <w:r w:rsidRPr="0015392D">
        <w:rPr>
          <w:rFonts w:ascii="Times New Roman" w:hAnsi="Times New Roman"/>
          <w:sz w:val="28"/>
          <w:szCs w:val="28"/>
        </w:rPr>
        <w:t>Комитет</w:t>
      </w:r>
      <w:r>
        <w:rPr>
          <w:rFonts w:ascii="Times New Roman" w:hAnsi="Times New Roman"/>
          <w:sz w:val="28"/>
          <w:szCs w:val="28"/>
        </w:rPr>
        <w:t>а</w:t>
      </w:r>
      <w:r w:rsidRPr="0015392D">
        <w:rPr>
          <w:rFonts w:ascii="Times New Roman" w:hAnsi="Times New Roman"/>
          <w:sz w:val="28"/>
          <w:szCs w:val="28"/>
        </w:rPr>
        <w:t xml:space="preserve"> медицинского и фармацевтического контроля Министерства здравоохранения Республики Казахстан</w:t>
      </w:r>
    </w:p>
    <w:p w14:paraId="0389104B" w14:textId="15F2B99C" w:rsidR="006703A5" w:rsidRDefault="00D215A2" w:rsidP="000E2720">
      <w:pPr>
        <w:pStyle w:val="ad"/>
        <w:rPr>
          <w:rStyle w:val="af0"/>
          <w:rFonts w:ascii="Times New Roman" w:hAnsi="Times New Roman"/>
          <w:sz w:val="28"/>
          <w:szCs w:val="28"/>
          <w:lang w:val="en-US"/>
        </w:rPr>
      </w:pPr>
      <w:hyperlink r:id="rId11" w:history="1">
        <w:r w:rsidR="000E2720" w:rsidRPr="006C577B">
          <w:rPr>
            <w:rStyle w:val="af0"/>
            <w:rFonts w:ascii="Times New Roman" w:hAnsi="Times New Roman"/>
            <w:sz w:val="28"/>
            <w:szCs w:val="28"/>
            <w:lang w:val="en-US"/>
          </w:rPr>
          <w:t>http</w:t>
        </w:r>
        <w:r w:rsidR="000E2720" w:rsidRPr="006C577B">
          <w:rPr>
            <w:rStyle w:val="af0"/>
            <w:rFonts w:ascii="Times New Roman" w:hAnsi="Times New Roman"/>
            <w:sz w:val="28"/>
            <w:szCs w:val="28"/>
          </w:rPr>
          <w:t>://</w:t>
        </w:r>
        <w:r w:rsidR="000E2720" w:rsidRPr="006C577B">
          <w:rPr>
            <w:rStyle w:val="af0"/>
            <w:rFonts w:ascii="Times New Roman" w:hAnsi="Times New Roman"/>
            <w:sz w:val="28"/>
            <w:szCs w:val="28"/>
            <w:lang w:val="en-US"/>
          </w:rPr>
          <w:t>www</w:t>
        </w:r>
        <w:r w:rsidR="000E2720" w:rsidRPr="006C577B">
          <w:rPr>
            <w:rStyle w:val="af0"/>
            <w:rFonts w:ascii="Times New Roman" w:hAnsi="Times New Roman"/>
            <w:sz w:val="28"/>
            <w:szCs w:val="28"/>
          </w:rPr>
          <w:t>.</w:t>
        </w:r>
        <w:proofErr w:type="spellStart"/>
        <w:r w:rsidR="000E2720" w:rsidRPr="006C577B">
          <w:rPr>
            <w:rStyle w:val="af0"/>
            <w:rFonts w:ascii="Times New Roman" w:hAnsi="Times New Roman"/>
            <w:sz w:val="28"/>
            <w:szCs w:val="28"/>
            <w:lang w:val="en-US"/>
          </w:rPr>
          <w:t>ndda</w:t>
        </w:r>
        <w:proofErr w:type="spellEnd"/>
        <w:r w:rsidR="000E2720" w:rsidRPr="006C577B">
          <w:rPr>
            <w:rStyle w:val="af0"/>
            <w:rFonts w:ascii="Times New Roman" w:hAnsi="Times New Roman"/>
            <w:sz w:val="28"/>
            <w:szCs w:val="28"/>
          </w:rPr>
          <w:t>.</w:t>
        </w:r>
        <w:proofErr w:type="spellStart"/>
        <w:r w:rsidR="000E2720" w:rsidRPr="006C577B">
          <w:rPr>
            <w:rStyle w:val="af0"/>
            <w:rFonts w:ascii="Times New Roman" w:hAnsi="Times New Roman"/>
            <w:sz w:val="28"/>
            <w:szCs w:val="28"/>
            <w:lang w:val="en-US"/>
          </w:rPr>
          <w:t>kz</w:t>
        </w:r>
        <w:proofErr w:type="spellEnd"/>
      </w:hyperlink>
    </w:p>
    <w:p w14:paraId="1BC75A3C" w14:textId="77777777" w:rsidR="000E2720" w:rsidRPr="00120133" w:rsidRDefault="000E2720" w:rsidP="000E2720">
      <w:pPr>
        <w:pStyle w:val="ad"/>
        <w:rPr>
          <w:rFonts w:ascii="Times New Roman" w:hAnsi="Times New Roman"/>
          <w:sz w:val="24"/>
          <w:szCs w:val="24"/>
        </w:rPr>
      </w:pPr>
    </w:p>
    <w:p w14:paraId="3C42C717" w14:textId="77777777" w:rsidR="000C2C4B" w:rsidRPr="00120133" w:rsidRDefault="000C2C4B" w:rsidP="00F850FD">
      <w:pPr>
        <w:pStyle w:val="ad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133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14:paraId="44AA3BBB" w14:textId="77777777" w:rsidR="000978BE" w:rsidRPr="00844CE8" w:rsidRDefault="000978BE" w:rsidP="000978BE">
      <w:pPr>
        <w:spacing w:after="0" w:line="240" w:lineRule="auto"/>
        <w:jc w:val="both"/>
        <w:rPr>
          <w:rFonts w:ascii="Times New Roman" w:hAnsi="Times New Roman"/>
          <w:i/>
        </w:rPr>
      </w:pPr>
      <w:bookmarkStart w:id="7" w:name="2175220285"/>
      <w:bookmarkStart w:id="8" w:name="2175220286"/>
      <w:r w:rsidRPr="00844C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Состав лекарственного препарата </w:t>
      </w:r>
    </w:p>
    <w:bookmarkEnd w:id="7"/>
    <w:p w14:paraId="51C254FE" w14:textId="13AE31F9" w:rsidR="000978BE" w:rsidRPr="00844CE8" w:rsidRDefault="000978BE" w:rsidP="000978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Одна капсула</w:t>
      </w:r>
      <w:r w:rsidRPr="00844CE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содержит </w:t>
      </w:r>
    </w:p>
    <w:p w14:paraId="4D3BA83E" w14:textId="5696B96E" w:rsidR="00234120" w:rsidRPr="00234120" w:rsidRDefault="000978BE" w:rsidP="000978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активное вещество 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–</w:t>
      </w:r>
      <w:r w:rsidRPr="00844CE8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Pr="00234120">
        <w:rPr>
          <w:rFonts w:ascii="Times New Roman" w:eastAsia="Times New Roman" w:hAnsi="Times New Roman"/>
          <w:bCs/>
          <w:sz w:val="28"/>
          <w:szCs w:val="28"/>
          <w:lang w:eastAsia="ru-RU"/>
        </w:rPr>
        <w:t>альцифедиола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F48A6" w:rsidRPr="00DF48A6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DF48A6" w:rsidRPr="00DF48A6">
        <w:rPr>
          <w:rFonts w:ascii="Times New Roman" w:eastAsia="Times New Roman" w:hAnsi="Times New Roman"/>
          <w:bCs/>
          <w:sz w:val="28"/>
          <w:szCs w:val="28"/>
          <w:lang w:eastAsia="ru-RU"/>
        </w:rPr>
        <w:t>266 мг</w:t>
      </w:r>
    </w:p>
    <w:p w14:paraId="29E05205" w14:textId="305826F3" w:rsidR="008563DF" w:rsidRDefault="00E12FC7" w:rsidP="00F850FD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в</w:t>
      </w:r>
      <w:r w:rsidR="00234120" w:rsidRPr="00234120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спомогательные вещества</w:t>
      </w:r>
      <w:r w:rsidR="000978B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– этанол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безводный</w:t>
      </w:r>
      <w:r w:rsidR="000978B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 т</w:t>
      </w:r>
      <w:r w:rsidR="000978BE" w:rsidRPr="002341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риглицериды </w:t>
      </w:r>
      <w:r w:rsidR="00234120" w:rsidRPr="002341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со средней длиной цепи (M</w:t>
      </w:r>
      <w:proofErr w:type="spellStart"/>
      <w:r w:rsidR="00234120" w:rsidRPr="00234120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i</w:t>
      </w:r>
      <w:r w:rsidR="00234120" w:rsidRPr="002341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glyol</w:t>
      </w:r>
      <w:proofErr w:type="spellEnd"/>
      <w:r w:rsidR="00234120" w:rsidRPr="002341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812N)</w:t>
      </w:r>
      <w:r w:rsidR="000978B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, </w:t>
      </w:r>
    </w:p>
    <w:p w14:paraId="04B22D91" w14:textId="176C8C65" w:rsidR="00234120" w:rsidRPr="00234120" w:rsidRDefault="008563DF" w:rsidP="00F850FD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E12F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состав оболочки капсулы:</w:t>
      </w:r>
      <w:r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 xml:space="preserve"> </w:t>
      </w:r>
      <w:r w:rsidR="00234120" w:rsidRPr="002341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желатин, глицерин (≥ 99 % глицерина), сорбитол (70% об/об),</w:t>
      </w:r>
      <w:r w:rsidR="00E12F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="00234120" w:rsidRPr="002341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титана диоксид (Е171), краситель закатный желтый </w:t>
      </w:r>
      <w:r w:rsidR="00234120" w:rsidRPr="00234120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S</w:t>
      </w:r>
      <w:r w:rsidR="00234120" w:rsidRPr="002341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(Е-110), вода очищенная.</w:t>
      </w:r>
    </w:p>
    <w:p w14:paraId="2D655332" w14:textId="77777777" w:rsidR="005C5740" w:rsidRPr="000978BE" w:rsidRDefault="005C5740" w:rsidP="00F850FD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12"/>
          <w:szCs w:val="12"/>
          <w:lang w:eastAsia="ru-RU"/>
        </w:rPr>
      </w:pPr>
    </w:p>
    <w:p w14:paraId="23356155" w14:textId="77777777" w:rsidR="006B7A90" w:rsidRPr="00120133" w:rsidRDefault="006B7A90" w:rsidP="00F850FD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2013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Описание внешнего вида, запаха, вкуса</w:t>
      </w:r>
    </w:p>
    <w:bookmarkEnd w:id="8"/>
    <w:p w14:paraId="1054E693" w14:textId="77777777" w:rsidR="00760690" w:rsidRPr="00760690" w:rsidRDefault="00760690" w:rsidP="00F850FD">
      <w:pPr>
        <w:pStyle w:val="ad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606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Мягкие желатиновые капсулы оранжевого цвета с продольным швом, длиной 15.5 </w:t>
      </w:r>
      <w:r w:rsidRPr="00760690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+</w:t>
      </w:r>
      <w:r w:rsidRPr="007606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0.5 мм и диаметром 9.2 </w:t>
      </w:r>
      <w:r w:rsidRPr="00760690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+</w:t>
      </w:r>
      <w:r w:rsidRPr="007606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0.4 мм. </w:t>
      </w:r>
    </w:p>
    <w:p w14:paraId="241E3E2A" w14:textId="77777777" w:rsidR="00760690" w:rsidRPr="00760690" w:rsidRDefault="00760690" w:rsidP="00F850FD">
      <w:pPr>
        <w:pStyle w:val="ad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60690">
        <w:rPr>
          <w:rFonts w:ascii="Times New Roman" w:eastAsia="Times New Roman" w:hAnsi="Times New Roman"/>
          <w:bCs/>
          <w:sz w:val="28"/>
          <w:szCs w:val="28"/>
          <w:lang w:eastAsia="ru-RU"/>
        </w:rPr>
        <w:t>Содержимое капсул – прозрачная, маловязкая и не содержащая посторонних частиц жидкость.</w:t>
      </w:r>
    </w:p>
    <w:p w14:paraId="2B6C34F5" w14:textId="77777777" w:rsidR="006B7A90" w:rsidRPr="00120133" w:rsidRDefault="006B7A90" w:rsidP="00F850FD">
      <w:pPr>
        <w:pStyle w:val="ad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386E52" w14:textId="77777777" w:rsidR="00277C22" w:rsidRPr="00120133" w:rsidRDefault="00C9308C" w:rsidP="00F850F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9" w:name="2175220287"/>
      <w:r w:rsidRPr="00120133">
        <w:rPr>
          <w:rFonts w:ascii="Times New Roman" w:eastAsia="Times New Roman" w:hAnsi="Times New Roman"/>
          <w:b/>
          <w:sz w:val="28"/>
          <w:szCs w:val="28"/>
          <w:lang w:eastAsia="ru-RU"/>
        </w:rPr>
        <w:t>Форма  выпуска  и упаковка</w:t>
      </w:r>
    </w:p>
    <w:p w14:paraId="3AD0FA3D" w14:textId="4BB41A31" w:rsidR="00E12FC7" w:rsidRPr="00E12FC7" w:rsidRDefault="00E12FC7" w:rsidP="00F850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x-none" w:eastAsia="ru-RU"/>
        </w:rPr>
      </w:pPr>
      <w:r w:rsidRPr="00E12FC7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По 5 капсул в контурной ячейковой упаковке </w:t>
      </w:r>
      <w:r w:rsidR="0062350E">
        <w:rPr>
          <w:rFonts w:ascii="Times New Roman" w:eastAsia="Times New Roman" w:hAnsi="Times New Roman"/>
          <w:sz w:val="28"/>
          <w:szCs w:val="28"/>
          <w:lang w:eastAsia="ru-RU"/>
        </w:rPr>
        <w:t xml:space="preserve">из </w:t>
      </w:r>
      <w:r w:rsidRPr="00E12FC7">
        <w:rPr>
          <w:rFonts w:ascii="Times New Roman" w:eastAsia="Times New Roman" w:hAnsi="Times New Roman"/>
          <w:sz w:val="28"/>
          <w:szCs w:val="28"/>
          <w:lang w:val="x-none" w:eastAsia="ru-RU"/>
        </w:rPr>
        <w:t>пленки поливинилхлоридной/</w:t>
      </w:r>
      <w:proofErr w:type="spellStart"/>
      <w:r w:rsidRPr="00E12FC7">
        <w:rPr>
          <w:rFonts w:ascii="Times New Roman" w:eastAsia="Times New Roman" w:hAnsi="Times New Roman"/>
          <w:sz w:val="28"/>
          <w:szCs w:val="28"/>
          <w:lang w:val="x-none" w:eastAsia="ru-RU"/>
        </w:rPr>
        <w:t>поливинилдихлоридной</w:t>
      </w:r>
      <w:proofErr w:type="spellEnd"/>
      <w:r w:rsidRPr="00E12FC7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и фольги алюминиевой.</w:t>
      </w:r>
    </w:p>
    <w:p w14:paraId="7E1CC881" w14:textId="1ED4E577" w:rsidR="00E12FC7" w:rsidRPr="00E12FC7" w:rsidRDefault="00E12FC7" w:rsidP="00F850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C7">
        <w:rPr>
          <w:rFonts w:ascii="Times New Roman" w:eastAsia="Times New Roman" w:hAnsi="Times New Roman"/>
          <w:sz w:val="28"/>
          <w:szCs w:val="28"/>
          <w:lang w:eastAsia="ru-RU"/>
        </w:rPr>
        <w:t>По 1 контурной ячейковой упаковке вместе с инструкцией по медицинскому применению на казахском и русском языках помещают в пачку картонную.</w:t>
      </w:r>
    </w:p>
    <w:p w14:paraId="76ABE20C" w14:textId="77777777" w:rsidR="00277C22" w:rsidRPr="00120133" w:rsidRDefault="00277C22" w:rsidP="00F850F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B0BD3D5" w14:textId="77777777" w:rsidR="00D14D61" w:rsidRPr="00120133" w:rsidRDefault="00844CE8" w:rsidP="00F850F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13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Срок </w:t>
      </w:r>
      <w:r w:rsidR="006C6558" w:rsidRPr="00120133">
        <w:rPr>
          <w:rFonts w:ascii="Times New Roman" w:eastAsia="Times New Roman" w:hAnsi="Times New Roman"/>
          <w:b/>
          <w:sz w:val="28"/>
          <w:szCs w:val="28"/>
          <w:lang w:eastAsia="ru-RU"/>
        </w:rPr>
        <w:t>хранения</w:t>
      </w:r>
    </w:p>
    <w:p w14:paraId="4FCA5464" w14:textId="77777777" w:rsidR="0051132F" w:rsidRPr="00120133" w:rsidRDefault="00AA574B" w:rsidP="00F850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13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1132F" w:rsidRPr="0012013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14:paraId="20145B25" w14:textId="77777777" w:rsidR="000E01AB" w:rsidRPr="00120133" w:rsidRDefault="00D14D61" w:rsidP="00F850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133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="000E01AB" w:rsidRPr="00120133">
        <w:rPr>
          <w:rFonts w:ascii="Times New Roman" w:eastAsia="Times New Roman" w:hAnsi="Times New Roman"/>
          <w:sz w:val="28"/>
          <w:szCs w:val="28"/>
          <w:lang w:eastAsia="ru-RU"/>
        </w:rPr>
        <w:t>примен</w:t>
      </w:r>
      <w:r w:rsidRPr="00120133">
        <w:rPr>
          <w:rFonts w:ascii="Times New Roman" w:eastAsia="Times New Roman" w:hAnsi="Times New Roman"/>
          <w:sz w:val="28"/>
          <w:szCs w:val="28"/>
          <w:lang w:eastAsia="ru-RU"/>
        </w:rPr>
        <w:t xml:space="preserve">ять </w:t>
      </w:r>
      <w:r w:rsidR="000E01AB" w:rsidRPr="00120133">
        <w:rPr>
          <w:rFonts w:ascii="Times New Roman" w:eastAsia="Times New Roman" w:hAnsi="Times New Roman"/>
          <w:sz w:val="28"/>
          <w:szCs w:val="28"/>
          <w:lang w:eastAsia="ru-RU"/>
        </w:rPr>
        <w:t>по истечении срока годности</w:t>
      </w:r>
      <w:r w:rsidRPr="00120133">
        <w:rPr>
          <w:rFonts w:ascii="Times New Roman" w:eastAsia="Times New Roman" w:hAnsi="Times New Roman"/>
          <w:sz w:val="28"/>
          <w:szCs w:val="28"/>
          <w:lang w:eastAsia="ru-RU"/>
        </w:rPr>
        <w:t>!</w:t>
      </w:r>
    </w:p>
    <w:p w14:paraId="47F9539D" w14:textId="77777777" w:rsidR="0051132F" w:rsidRPr="00120133" w:rsidRDefault="0051132F" w:rsidP="00F850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097837" w14:textId="77777777" w:rsidR="000E01AB" w:rsidRPr="00120133" w:rsidRDefault="00D14D61" w:rsidP="00F850FD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10" w:name="2175220288"/>
      <w:bookmarkEnd w:id="9"/>
      <w:r w:rsidRPr="0012013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Условия хранения</w:t>
      </w:r>
    </w:p>
    <w:p w14:paraId="5D55A913" w14:textId="77777777" w:rsidR="0051132F" w:rsidRPr="00120133" w:rsidRDefault="0051132F" w:rsidP="00F850FD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1201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Хранить при температуре не выше 25 ºС.</w:t>
      </w:r>
    </w:p>
    <w:p w14:paraId="3A44289A" w14:textId="77777777" w:rsidR="00D14D61" w:rsidRPr="00120133" w:rsidRDefault="00D14D61" w:rsidP="00F850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0133">
        <w:rPr>
          <w:rFonts w:ascii="Times New Roman" w:hAnsi="Times New Roman"/>
          <w:sz w:val="28"/>
          <w:szCs w:val="28"/>
        </w:rPr>
        <w:t xml:space="preserve">Хранить в недоступном для детей месте! </w:t>
      </w:r>
      <w:bookmarkStart w:id="11" w:name="2175220289"/>
      <w:bookmarkEnd w:id="10"/>
    </w:p>
    <w:bookmarkEnd w:id="11"/>
    <w:p w14:paraId="63D66898" w14:textId="77777777" w:rsidR="006B7A90" w:rsidRPr="00AA574B" w:rsidRDefault="006B7A90" w:rsidP="00F850FD">
      <w:pPr>
        <w:pStyle w:val="ad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14:paraId="33778874" w14:textId="77777777" w:rsidR="0051132F" w:rsidRDefault="006C6558" w:rsidP="00F850FD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C6558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Условия отпуска из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аптек </w:t>
      </w:r>
    </w:p>
    <w:p w14:paraId="0BBA9FF0" w14:textId="77777777" w:rsidR="006C6558" w:rsidRDefault="0051132F" w:rsidP="00F850F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6C6558" w:rsidRPr="006C6558">
        <w:rPr>
          <w:rFonts w:ascii="Times New Roman" w:hAnsi="Times New Roman"/>
          <w:color w:val="000000"/>
          <w:sz w:val="28"/>
          <w:szCs w:val="28"/>
        </w:rPr>
        <w:t>о рецепту</w:t>
      </w:r>
    </w:p>
    <w:p w14:paraId="11966CD8" w14:textId="77777777" w:rsidR="0051132F" w:rsidRDefault="0051132F" w:rsidP="00F850F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2DA45DA" w14:textId="77777777" w:rsidR="006B7A90" w:rsidRDefault="007C1693" w:rsidP="00F850F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4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о производителе </w:t>
      </w:r>
    </w:p>
    <w:p w14:paraId="09A0CA11" w14:textId="6DF3DA54" w:rsidR="000978BE" w:rsidRPr="000978BE" w:rsidRDefault="000978BE" w:rsidP="000978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78BE">
        <w:rPr>
          <w:rFonts w:ascii="Times New Roman" w:hAnsi="Times New Roman"/>
          <w:sz w:val="28"/>
          <w:szCs w:val="28"/>
        </w:rPr>
        <w:t>FAES FARMA S.A</w:t>
      </w:r>
      <w:r>
        <w:rPr>
          <w:rFonts w:ascii="Times New Roman" w:hAnsi="Times New Roman"/>
          <w:sz w:val="28"/>
          <w:szCs w:val="28"/>
        </w:rPr>
        <w:t>.</w:t>
      </w:r>
    </w:p>
    <w:p w14:paraId="0AD898C9" w14:textId="3D178E77" w:rsidR="000978BE" w:rsidRDefault="000978BE" w:rsidP="000978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78BE">
        <w:rPr>
          <w:rFonts w:ascii="Times New Roman" w:hAnsi="Times New Roman"/>
          <w:sz w:val="28"/>
          <w:szCs w:val="28"/>
        </w:rPr>
        <w:t>M</w:t>
      </w:r>
      <w:r w:rsidR="00421070">
        <w:rPr>
          <w:rFonts w:ascii="Times New Roman" w:hAnsi="Times New Roman"/>
          <w:sz w:val="28"/>
          <w:szCs w:val="28"/>
          <w:lang w:val="en-US"/>
        </w:rPr>
        <w:t>a</w:t>
      </w:r>
      <w:proofErr w:type="spellStart"/>
      <w:r w:rsidRPr="000978BE">
        <w:rPr>
          <w:rFonts w:ascii="Times New Roman" w:hAnsi="Times New Roman"/>
          <w:sz w:val="28"/>
          <w:szCs w:val="28"/>
        </w:rPr>
        <w:t>ximo</w:t>
      </w:r>
      <w:proofErr w:type="spellEnd"/>
      <w:r w:rsidRPr="000978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8BE">
        <w:rPr>
          <w:rFonts w:ascii="Times New Roman" w:hAnsi="Times New Roman"/>
          <w:sz w:val="28"/>
          <w:szCs w:val="28"/>
        </w:rPr>
        <w:t>Agirre</w:t>
      </w:r>
      <w:proofErr w:type="spellEnd"/>
      <w:r w:rsidR="0042107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21070">
        <w:rPr>
          <w:rFonts w:ascii="Times New Roman" w:hAnsi="Times New Roman"/>
          <w:sz w:val="28"/>
          <w:szCs w:val="28"/>
          <w:lang w:val="en-US"/>
        </w:rPr>
        <w:t>Kalea</w:t>
      </w:r>
      <w:proofErr w:type="spellEnd"/>
      <w:r w:rsidRPr="000978BE">
        <w:rPr>
          <w:rFonts w:ascii="Times New Roman" w:hAnsi="Times New Roman"/>
          <w:sz w:val="28"/>
          <w:szCs w:val="28"/>
        </w:rPr>
        <w:t xml:space="preserve">, 14, </w:t>
      </w:r>
    </w:p>
    <w:p w14:paraId="21D1FF09" w14:textId="326A113D" w:rsidR="000978BE" w:rsidRPr="000978BE" w:rsidRDefault="000978BE" w:rsidP="000978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78BE">
        <w:rPr>
          <w:rFonts w:ascii="Times New Roman" w:hAnsi="Times New Roman"/>
          <w:sz w:val="28"/>
          <w:szCs w:val="28"/>
        </w:rPr>
        <w:t xml:space="preserve">48940 </w:t>
      </w:r>
      <w:proofErr w:type="spellStart"/>
      <w:r w:rsidRPr="000978BE">
        <w:rPr>
          <w:rFonts w:ascii="Times New Roman" w:hAnsi="Times New Roman"/>
          <w:sz w:val="28"/>
          <w:szCs w:val="28"/>
        </w:rPr>
        <w:t>Лейоа</w:t>
      </w:r>
      <w:proofErr w:type="spellEnd"/>
      <w:r w:rsidRPr="000978B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978BE">
        <w:rPr>
          <w:rFonts w:ascii="Times New Roman" w:hAnsi="Times New Roman"/>
          <w:sz w:val="28"/>
          <w:szCs w:val="28"/>
        </w:rPr>
        <w:t>Бискайя</w:t>
      </w:r>
      <w:proofErr w:type="spellEnd"/>
      <w:r w:rsidRPr="000978BE">
        <w:rPr>
          <w:rFonts w:ascii="Times New Roman" w:hAnsi="Times New Roman"/>
          <w:sz w:val="28"/>
          <w:szCs w:val="28"/>
        </w:rPr>
        <w:t>), Испания</w:t>
      </w:r>
    </w:p>
    <w:p w14:paraId="42C8218F" w14:textId="1B3EBA3B" w:rsidR="000978BE" w:rsidRPr="000978BE" w:rsidRDefault="00421070" w:rsidP="000978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1070">
        <w:rPr>
          <w:rFonts w:ascii="Times New Roman" w:hAnsi="Times New Roman"/>
          <w:sz w:val="28"/>
          <w:szCs w:val="28"/>
        </w:rPr>
        <w:t xml:space="preserve">Тел.: </w:t>
      </w:r>
      <w:r w:rsidR="000978BE" w:rsidRPr="000978BE">
        <w:rPr>
          <w:rFonts w:ascii="Times New Roman" w:hAnsi="Times New Roman"/>
          <w:sz w:val="28"/>
          <w:szCs w:val="28"/>
        </w:rPr>
        <w:t>+34944818339</w:t>
      </w:r>
    </w:p>
    <w:p w14:paraId="591941F3" w14:textId="400D1B21" w:rsidR="00744AC3" w:rsidRPr="0051132F" w:rsidRDefault="00D215A2" w:rsidP="00F850F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9"/>
          <w:sz w:val="28"/>
          <w:szCs w:val="28"/>
          <w:lang w:eastAsia="ru-RU"/>
        </w:rPr>
      </w:pPr>
      <w:hyperlink r:id="rId12" w:history="1">
        <w:r w:rsidR="000978BE" w:rsidRPr="009C2549">
          <w:rPr>
            <w:rStyle w:val="af0"/>
            <w:rFonts w:ascii="Times New Roman" w:eastAsia="Times New Roman" w:hAnsi="Times New Roman"/>
            <w:bCs/>
            <w:spacing w:val="9"/>
            <w:sz w:val="28"/>
            <w:szCs w:val="28"/>
            <w:lang w:eastAsia="ru-RU"/>
          </w:rPr>
          <w:t>www.faesfarma.co</w:t>
        </w:r>
      </w:hyperlink>
      <w:r w:rsidR="000978BE">
        <w:rPr>
          <w:rFonts w:ascii="Times New Roman" w:eastAsia="Times New Roman" w:hAnsi="Times New Roman"/>
          <w:bCs/>
          <w:color w:val="000000"/>
          <w:spacing w:val="9"/>
          <w:sz w:val="28"/>
          <w:szCs w:val="28"/>
          <w:lang w:eastAsia="ru-RU"/>
        </w:rPr>
        <w:t xml:space="preserve"> </w:t>
      </w:r>
      <w:r w:rsidR="000978BE" w:rsidRPr="00760690">
        <w:rPr>
          <w:rFonts w:ascii="Times New Roman" w:eastAsia="Times New Roman" w:hAnsi="Times New Roman"/>
          <w:bCs/>
          <w:color w:val="000000"/>
          <w:spacing w:val="9"/>
          <w:sz w:val="28"/>
          <w:szCs w:val="28"/>
          <w:lang w:eastAsia="ru-RU"/>
        </w:rPr>
        <w:br/>
      </w:r>
    </w:p>
    <w:p w14:paraId="3399FB6E" w14:textId="77777777" w:rsidR="0051132F" w:rsidRPr="0051132F" w:rsidRDefault="0051132F" w:rsidP="00F850F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9"/>
          <w:sz w:val="28"/>
          <w:szCs w:val="28"/>
          <w:lang w:eastAsia="ru-RU"/>
        </w:rPr>
      </w:pPr>
      <w:r w:rsidRPr="0051132F">
        <w:rPr>
          <w:rFonts w:ascii="Times New Roman" w:eastAsia="Times New Roman" w:hAnsi="Times New Roman"/>
          <w:b/>
          <w:bCs/>
          <w:color w:val="000000"/>
          <w:spacing w:val="9"/>
          <w:sz w:val="28"/>
          <w:szCs w:val="28"/>
          <w:lang w:val="x-none" w:eastAsia="ru-RU"/>
        </w:rPr>
        <w:t>Держатель регистрационного удостоверения</w:t>
      </w:r>
    </w:p>
    <w:p w14:paraId="1430DD74" w14:textId="77777777" w:rsidR="000978BE" w:rsidRPr="000978BE" w:rsidRDefault="000978BE" w:rsidP="000978BE">
      <w:pPr>
        <w:pStyle w:val="SPCNormal"/>
        <w:jc w:val="both"/>
        <w:rPr>
          <w:sz w:val="28"/>
          <w:szCs w:val="28"/>
        </w:rPr>
      </w:pPr>
      <w:proofErr w:type="spellStart"/>
      <w:r w:rsidRPr="000978BE">
        <w:rPr>
          <w:sz w:val="28"/>
          <w:szCs w:val="28"/>
        </w:rPr>
        <w:t>Берлин-Хеми</w:t>
      </w:r>
      <w:proofErr w:type="spellEnd"/>
      <w:r w:rsidRPr="000978BE">
        <w:rPr>
          <w:sz w:val="28"/>
          <w:szCs w:val="28"/>
        </w:rPr>
        <w:t xml:space="preserve"> АГ</w:t>
      </w:r>
    </w:p>
    <w:p w14:paraId="31AC6E6D" w14:textId="77777777" w:rsidR="000978BE" w:rsidRPr="000978BE" w:rsidRDefault="000978BE" w:rsidP="000978BE">
      <w:pPr>
        <w:pStyle w:val="SPCNormal"/>
        <w:jc w:val="both"/>
        <w:rPr>
          <w:sz w:val="28"/>
          <w:szCs w:val="28"/>
        </w:rPr>
      </w:pPr>
      <w:proofErr w:type="spellStart"/>
      <w:r w:rsidRPr="000978BE">
        <w:rPr>
          <w:sz w:val="28"/>
          <w:szCs w:val="28"/>
        </w:rPr>
        <w:t>Глиникер</w:t>
      </w:r>
      <w:proofErr w:type="spellEnd"/>
      <w:r w:rsidRPr="000978BE">
        <w:rPr>
          <w:sz w:val="28"/>
          <w:szCs w:val="28"/>
        </w:rPr>
        <w:t xml:space="preserve"> </w:t>
      </w:r>
      <w:proofErr w:type="spellStart"/>
      <w:r w:rsidRPr="000978BE">
        <w:rPr>
          <w:sz w:val="28"/>
          <w:szCs w:val="28"/>
        </w:rPr>
        <w:t>Вег</w:t>
      </w:r>
      <w:proofErr w:type="spellEnd"/>
      <w:r w:rsidRPr="000978BE">
        <w:rPr>
          <w:sz w:val="28"/>
          <w:szCs w:val="28"/>
        </w:rPr>
        <w:t xml:space="preserve"> 125, </w:t>
      </w:r>
    </w:p>
    <w:p w14:paraId="3F1529C8" w14:textId="77777777" w:rsidR="000978BE" w:rsidRPr="000978BE" w:rsidRDefault="000978BE" w:rsidP="000978BE">
      <w:pPr>
        <w:pStyle w:val="SPCNormal"/>
        <w:jc w:val="both"/>
        <w:rPr>
          <w:sz w:val="28"/>
          <w:szCs w:val="28"/>
        </w:rPr>
      </w:pPr>
      <w:r w:rsidRPr="000978BE">
        <w:rPr>
          <w:sz w:val="28"/>
          <w:szCs w:val="28"/>
        </w:rPr>
        <w:t xml:space="preserve">12489 </w:t>
      </w:r>
      <w:proofErr w:type="spellStart"/>
      <w:r w:rsidRPr="000978BE">
        <w:rPr>
          <w:sz w:val="28"/>
          <w:szCs w:val="28"/>
        </w:rPr>
        <w:t>Берлин</w:t>
      </w:r>
      <w:proofErr w:type="spellEnd"/>
      <w:r w:rsidRPr="000978BE">
        <w:rPr>
          <w:sz w:val="28"/>
          <w:szCs w:val="28"/>
        </w:rPr>
        <w:t xml:space="preserve">, </w:t>
      </w:r>
      <w:proofErr w:type="spellStart"/>
      <w:r w:rsidRPr="000978BE">
        <w:rPr>
          <w:sz w:val="28"/>
          <w:szCs w:val="28"/>
        </w:rPr>
        <w:t>Германия</w:t>
      </w:r>
      <w:proofErr w:type="spellEnd"/>
    </w:p>
    <w:p w14:paraId="2252454A" w14:textId="63DC02FD" w:rsidR="000978BE" w:rsidRPr="000467BA" w:rsidRDefault="000978BE" w:rsidP="000978BE">
      <w:pPr>
        <w:pStyle w:val="SPCNormal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Тел</w:t>
      </w:r>
      <w:r w:rsidRPr="000467BA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:</w:t>
      </w:r>
      <w:r w:rsidRPr="000467BA">
        <w:rPr>
          <w:sz w:val="28"/>
          <w:szCs w:val="28"/>
        </w:rPr>
        <w:t xml:space="preserve"> +49 30 6707-0</w:t>
      </w:r>
    </w:p>
    <w:p w14:paraId="4938E254" w14:textId="18E65E53" w:rsidR="000978BE" w:rsidRPr="000467BA" w:rsidRDefault="000978BE" w:rsidP="000978BE">
      <w:pPr>
        <w:pStyle w:val="SPCNormal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Электронная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почта</w:t>
      </w:r>
      <w:r w:rsidRPr="000467BA">
        <w:rPr>
          <w:sz w:val="28"/>
          <w:szCs w:val="28"/>
        </w:rPr>
        <w:t>:</w:t>
      </w:r>
      <w:r w:rsidRPr="00364297">
        <w:rPr>
          <w:sz w:val="28"/>
          <w:szCs w:val="28"/>
        </w:rPr>
        <w:t xml:space="preserve"> </w:t>
      </w:r>
      <w:hyperlink r:id="rId13" w:history="1">
        <w:r w:rsidRPr="00FF3B00">
          <w:rPr>
            <w:rStyle w:val="af0"/>
            <w:sz w:val="28"/>
            <w:szCs w:val="28"/>
          </w:rPr>
          <w:t>info@berlin-chemie.de</w:t>
        </w:r>
      </w:hyperlink>
    </w:p>
    <w:p w14:paraId="7034C535" w14:textId="77777777" w:rsidR="00744AC3" w:rsidRDefault="00744AC3" w:rsidP="00F850FD">
      <w:pPr>
        <w:pStyle w:val="21"/>
        <w:spacing w:after="0" w:line="240" w:lineRule="auto"/>
        <w:rPr>
          <w:rFonts w:ascii="Times New Roman" w:hAnsi="Times New Roman"/>
          <w:b/>
          <w:iCs/>
          <w:sz w:val="28"/>
          <w:szCs w:val="28"/>
          <w:lang w:val="kk-KZ"/>
        </w:rPr>
      </w:pPr>
    </w:p>
    <w:p w14:paraId="364E2BFE" w14:textId="77777777" w:rsidR="00BB2A18" w:rsidRPr="00891711" w:rsidRDefault="00BB2A18" w:rsidP="00BB2A18">
      <w:pPr>
        <w:pStyle w:val="21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de-DE"/>
        </w:rPr>
      </w:pPr>
      <w:r w:rsidRPr="00891711">
        <w:rPr>
          <w:rFonts w:ascii="Times New Roman" w:hAnsi="Times New Roman"/>
          <w:b/>
          <w:iCs/>
          <w:sz w:val="28"/>
          <w:szCs w:val="28"/>
          <w:lang w:val="kk-KZ"/>
        </w:rPr>
        <w:t>Наименование, адрес и</w:t>
      </w:r>
      <w:r>
        <w:rPr>
          <w:rFonts w:ascii="Times New Roman" w:hAnsi="Times New Roman"/>
          <w:b/>
          <w:iCs/>
          <w:sz w:val="28"/>
          <w:szCs w:val="28"/>
          <w:lang w:val="kk-KZ"/>
        </w:rPr>
        <w:t xml:space="preserve"> контактные данные  (телефон, </w:t>
      </w:r>
      <w:r w:rsidRPr="00891711">
        <w:rPr>
          <w:rFonts w:ascii="Times New Roman" w:hAnsi="Times New Roman"/>
          <w:b/>
          <w:iCs/>
          <w:sz w:val="28"/>
          <w:szCs w:val="28"/>
          <w:lang w:val="kk-KZ"/>
        </w:rPr>
        <w:t xml:space="preserve">электронная почта) организации </w:t>
      </w:r>
      <w:r w:rsidRPr="00891711">
        <w:rPr>
          <w:rFonts w:ascii="Times New Roman" w:hAnsi="Times New Roman"/>
          <w:b/>
          <w:iCs/>
          <w:sz w:val="28"/>
          <w:szCs w:val="28"/>
        </w:rPr>
        <w:t>на территории Республики Казахстан, принимаю</w:t>
      </w:r>
      <w:r>
        <w:rPr>
          <w:rFonts w:ascii="Times New Roman" w:hAnsi="Times New Roman"/>
          <w:b/>
          <w:iCs/>
          <w:sz w:val="28"/>
          <w:szCs w:val="28"/>
        </w:rPr>
        <w:t>-</w:t>
      </w:r>
      <w:r w:rsidRPr="00891711">
        <w:rPr>
          <w:rFonts w:ascii="Times New Roman" w:hAnsi="Times New Roman"/>
          <w:b/>
          <w:iCs/>
          <w:sz w:val="28"/>
          <w:szCs w:val="28"/>
        </w:rPr>
        <w:t>щей претензии (предложения)  по качеству лекарственн</w:t>
      </w:r>
      <w:r>
        <w:rPr>
          <w:rFonts w:ascii="Times New Roman" w:hAnsi="Times New Roman"/>
          <w:b/>
          <w:iCs/>
          <w:sz w:val="28"/>
          <w:szCs w:val="28"/>
        </w:rPr>
        <w:t xml:space="preserve">ых  средств  от потребителей и </w:t>
      </w:r>
      <w:r w:rsidRPr="00FE2DA2">
        <w:rPr>
          <w:rFonts w:ascii="Times New Roman" w:hAnsi="Times New Roman"/>
          <w:b/>
          <w:iCs/>
          <w:sz w:val="28"/>
          <w:szCs w:val="28"/>
          <w:lang w:eastAsia="de-DE"/>
        </w:rPr>
        <w:t>ответственной за пострегистрационное наблюдение за безопасностью лекарственного средства</w:t>
      </w:r>
      <w:r w:rsidRPr="00FE2DA2">
        <w:rPr>
          <w:rFonts w:ascii="Times New Roman" w:hAnsi="Times New Roman"/>
          <w:b/>
          <w:sz w:val="28"/>
          <w:szCs w:val="28"/>
          <w:lang w:eastAsia="de-DE"/>
        </w:rPr>
        <w:t xml:space="preserve"> </w:t>
      </w:r>
    </w:p>
    <w:p w14:paraId="6FFA70FC" w14:textId="77777777" w:rsidR="00BB2A18" w:rsidRPr="00FF161C" w:rsidRDefault="00BB2A18" w:rsidP="00BB2A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Филиал АО «Берлин-Хеми АГ» в Республике Казахстан </w:t>
      </w:r>
      <w:r w:rsidRPr="00FF161C">
        <w:rPr>
          <w:rFonts w:ascii="Times New Roman" w:hAnsi="Times New Roman"/>
          <w:sz w:val="28"/>
          <w:szCs w:val="28"/>
        </w:rPr>
        <w:t xml:space="preserve"> </w:t>
      </w:r>
    </w:p>
    <w:p w14:paraId="75CD58D9" w14:textId="77777777" w:rsidR="00BB2A18" w:rsidRPr="00777861" w:rsidRDefault="00BB2A18" w:rsidP="00BB2A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7861">
        <w:rPr>
          <w:rFonts w:ascii="Times New Roman" w:hAnsi="Times New Roman"/>
          <w:sz w:val="28"/>
          <w:szCs w:val="28"/>
        </w:rPr>
        <w:t>050051,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7861">
        <w:rPr>
          <w:rFonts w:ascii="Times New Roman" w:hAnsi="Times New Roman"/>
          <w:sz w:val="28"/>
          <w:szCs w:val="28"/>
        </w:rPr>
        <w:t>Алматы,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7861">
        <w:rPr>
          <w:rFonts w:ascii="Times New Roman" w:hAnsi="Times New Roman"/>
          <w:sz w:val="28"/>
          <w:szCs w:val="28"/>
        </w:rPr>
        <w:t>Луганского, 54, коттедж № 2</w:t>
      </w:r>
    </w:p>
    <w:p w14:paraId="61D66CD9" w14:textId="77777777" w:rsidR="00BB2A18" w:rsidRPr="003F3125" w:rsidRDefault="00BB2A18" w:rsidP="00BB2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77861">
        <w:rPr>
          <w:rFonts w:ascii="Times New Roman" w:hAnsi="Times New Roman"/>
          <w:sz w:val="28"/>
          <w:szCs w:val="28"/>
        </w:rPr>
        <w:t>Телефон: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7861">
        <w:rPr>
          <w:rFonts w:ascii="Times New Roman" w:hAnsi="Times New Roman"/>
          <w:sz w:val="28"/>
          <w:szCs w:val="28"/>
        </w:rPr>
        <w:t>+7 727 2446183, 2446184, 2446185</w:t>
      </w:r>
    </w:p>
    <w:p w14:paraId="7A1AAFF3" w14:textId="77777777" w:rsidR="00BB2A18" w:rsidRPr="00777861" w:rsidRDefault="00BB2A18" w:rsidP="00BB2A18">
      <w:pPr>
        <w:spacing w:after="0" w:line="240" w:lineRule="auto"/>
        <w:jc w:val="both"/>
        <w:rPr>
          <w:rStyle w:val="af0"/>
          <w:rFonts w:ascii="Times New Roman" w:hAnsi="Times New Roman"/>
          <w:sz w:val="28"/>
          <w:szCs w:val="28"/>
        </w:rPr>
      </w:pPr>
      <w:r w:rsidRPr="00777861">
        <w:rPr>
          <w:rFonts w:ascii="Times New Roman" w:hAnsi="Times New Roman"/>
          <w:sz w:val="28"/>
          <w:szCs w:val="28"/>
        </w:rPr>
        <w:t>Электронн</w:t>
      </w:r>
      <w:r>
        <w:rPr>
          <w:rFonts w:ascii="Times New Roman" w:hAnsi="Times New Roman"/>
          <w:sz w:val="28"/>
          <w:szCs w:val="28"/>
        </w:rPr>
        <w:t xml:space="preserve">ая </w:t>
      </w:r>
      <w:r w:rsidRPr="00777861">
        <w:rPr>
          <w:rFonts w:ascii="Times New Roman" w:hAnsi="Times New Roman"/>
          <w:sz w:val="28"/>
          <w:szCs w:val="28"/>
        </w:rPr>
        <w:t>почт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777861">
        <w:rPr>
          <w:rFonts w:ascii="Times New Roman" w:hAnsi="Times New Roman"/>
          <w:sz w:val="28"/>
          <w:szCs w:val="28"/>
        </w:rPr>
        <w:t xml:space="preserve">: </w:t>
      </w:r>
      <w:hyperlink r:id="rId14" w:history="1">
        <w:r w:rsidRPr="00777861">
          <w:rPr>
            <w:rStyle w:val="af0"/>
            <w:rFonts w:ascii="Times New Roman" w:hAnsi="Times New Roman"/>
            <w:sz w:val="28"/>
            <w:szCs w:val="28"/>
            <w:lang w:val="en-US"/>
          </w:rPr>
          <w:t>Kazakhstan</w:t>
        </w:r>
        <w:r w:rsidRPr="00777861">
          <w:rPr>
            <w:rStyle w:val="af0"/>
            <w:rFonts w:ascii="Times New Roman" w:hAnsi="Times New Roman"/>
            <w:sz w:val="28"/>
            <w:szCs w:val="28"/>
          </w:rPr>
          <w:t>@</w:t>
        </w:r>
        <w:r w:rsidRPr="00777861">
          <w:rPr>
            <w:rStyle w:val="af0"/>
            <w:rFonts w:ascii="Times New Roman" w:hAnsi="Times New Roman"/>
            <w:sz w:val="28"/>
            <w:szCs w:val="28"/>
            <w:lang w:val="en-US"/>
          </w:rPr>
          <w:t>berlin</w:t>
        </w:r>
        <w:r w:rsidRPr="00777861">
          <w:rPr>
            <w:rStyle w:val="af0"/>
            <w:rFonts w:ascii="Times New Roman" w:hAnsi="Times New Roman"/>
            <w:sz w:val="28"/>
            <w:szCs w:val="28"/>
          </w:rPr>
          <w:t>-</w:t>
        </w:r>
        <w:proofErr w:type="spellStart"/>
        <w:r w:rsidRPr="00777861">
          <w:rPr>
            <w:rStyle w:val="af0"/>
            <w:rFonts w:ascii="Times New Roman" w:hAnsi="Times New Roman"/>
            <w:sz w:val="28"/>
            <w:szCs w:val="28"/>
            <w:lang w:val="en-US"/>
          </w:rPr>
          <w:t>chemie</w:t>
        </w:r>
        <w:proofErr w:type="spellEnd"/>
        <w:r w:rsidRPr="00777861">
          <w:rPr>
            <w:rStyle w:val="af0"/>
            <w:rFonts w:ascii="Times New Roman" w:hAnsi="Times New Roman"/>
            <w:sz w:val="28"/>
            <w:szCs w:val="28"/>
          </w:rPr>
          <w:t>.</w:t>
        </w:r>
        <w:r w:rsidRPr="00777861">
          <w:rPr>
            <w:rStyle w:val="af0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5129D07F" w14:textId="77777777" w:rsidR="00844CE8" w:rsidRPr="00844CE8" w:rsidRDefault="00844CE8" w:rsidP="00F850F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</w:p>
    <w:p w14:paraId="4C306C6E" w14:textId="77777777" w:rsidR="002C76D7" w:rsidRPr="00AB6C1C" w:rsidRDefault="002C76D7" w:rsidP="00F850F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sectPr w:rsidR="002C76D7" w:rsidRPr="00AB6C1C" w:rsidSect="00F97B57">
      <w:headerReference w:type="defaul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83249" w14:textId="77777777" w:rsidR="00D215A2" w:rsidRDefault="00D215A2" w:rsidP="00D275FC">
      <w:pPr>
        <w:spacing w:after="0" w:line="240" w:lineRule="auto"/>
      </w:pPr>
      <w:r>
        <w:separator/>
      </w:r>
    </w:p>
  </w:endnote>
  <w:endnote w:type="continuationSeparator" w:id="0">
    <w:p w14:paraId="6A6055E9" w14:textId="77777777" w:rsidR="00D215A2" w:rsidRDefault="00D215A2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2FFF6" w14:textId="77777777" w:rsidR="00D215A2" w:rsidRDefault="00D215A2" w:rsidP="00D275FC">
      <w:pPr>
        <w:spacing w:after="0" w:line="240" w:lineRule="auto"/>
      </w:pPr>
      <w:r>
        <w:separator/>
      </w:r>
    </w:p>
  </w:footnote>
  <w:footnote w:type="continuationSeparator" w:id="0">
    <w:p w14:paraId="74C8EC12" w14:textId="77777777" w:rsidR="00D215A2" w:rsidRDefault="00D215A2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9655A" w14:textId="77777777" w:rsidR="00D275FC" w:rsidRDefault="0092655B">
    <w:pPr>
      <w:pStyle w:val="af2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9C14B07" wp14:editId="776826E1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A86FAF" w14:textId="77777777" w:rsidR="00D275FC" w:rsidRPr="00D275FC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14B07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14:paraId="71A86FAF" w14:textId="77777777" w:rsidR="00D275FC" w:rsidRPr="00D275FC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1"/>
    <w:multiLevelType w:val="hybridMultilevel"/>
    <w:tmpl w:val="00000000"/>
    <w:lvl w:ilvl="0" w:tplc="E1E6B8FC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2F6A5F60">
      <w:start w:val="1"/>
      <w:numFmt w:val="bullet"/>
      <w:lvlText w:val="•"/>
      <w:lvlJc w:val="left"/>
      <w:pPr>
        <w:ind w:left="1728" w:hanging="360"/>
      </w:pPr>
      <w:rPr>
        <w:rFonts w:hint="default"/>
      </w:rPr>
    </w:lvl>
    <w:lvl w:ilvl="2" w:tplc="465ED446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064E3512">
      <w:start w:val="1"/>
      <w:numFmt w:val="bullet"/>
      <w:lvlText w:val="•"/>
      <w:lvlJc w:val="left"/>
      <w:pPr>
        <w:ind w:left="3504" w:hanging="360"/>
      </w:pPr>
      <w:rPr>
        <w:rFonts w:hint="default"/>
      </w:rPr>
    </w:lvl>
    <w:lvl w:ilvl="4" w:tplc="5CE2AE6E">
      <w:start w:val="1"/>
      <w:numFmt w:val="bullet"/>
      <w:lvlText w:val="•"/>
      <w:lvlJc w:val="left"/>
      <w:pPr>
        <w:ind w:left="4392" w:hanging="360"/>
      </w:pPr>
      <w:rPr>
        <w:rFonts w:hint="default"/>
      </w:rPr>
    </w:lvl>
    <w:lvl w:ilvl="5" w:tplc="6388E480">
      <w:start w:val="1"/>
      <w:numFmt w:val="bullet"/>
      <w:lvlText w:val="•"/>
      <w:lvlJc w:val="left"/>
      <w:pPr>
        <w:ind w:left="5280" w:hanging="360"/>
      </w:pPr>
      <w:rPr>
        <w:rFonts w:hint="default"/>
      </w:rPr>
    </w:lvl>
    <w:lvl w:ilvl="6" w:tplc="B8F8A706">
      <w:start w:val="1"/>
      <w:numFmt w:val="bullet"/>
      <w:lvlText w:val="•"/>
      <w:lvlJc w:val="left"/>
      <w:pPr>
        <w:ind w:left="6168" w:hanging="360"/>
      </w:pPr>
      <w:rPr>
        <w:rFonts w:hint="default"/>
      </w:rPr>
    </w:lvl>
    <w:lvl w:ilvl="7" w:tplc="FA58845E">
      <w:start w:val="1"/>
      <w:numFmt w:val="bullet"/>
      <w:lvlText w:val="•"/>
      <w:lvlJc w:val="left"/>
      <w:pPr>
        <w:ind w:left="7056" w:hanging="360"/>
      </w:pPr>
      <w:rPr>
        <w:rFonts w:hint="default"/>
      </w:rPr>
    </w:lvl>
    <w:lvl w:ilvl="8" w:tplc="868655C2">
      <w:start w:val="1"/>
      <w:numFmt w:val="bullet"/>
      <w:lvlText w:val="•"/>
      <w:lvlJc w:val="left"/>
      <w:pPr>
        <w:ind w:left="7944" w:hanging="360"/>
      </w:pPr>
      <w:rPr>
        <w:rFonts w:hint="default"/>
      </w:rPr>
    </w:lvl>
  </w:abstractNum>
  <w:abstractNum w:abstractNumId="2">
    <w:nsid w:val="00000003"/>
    <w:multiLevelType w:val="hybridMultilevel"/>
    <w:tmpl w:val="00000000"/>
    <w:lvl w:ilvl="0" w:tplc="E3FAA72A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5F18898C">
      <w:start w:val="1"/>
      <w:numFmt w:val="bullet"/>
      <w:lvlText w:val="•"/>
      <w:lvlJc w:val="left"/>
      <w:pPr>
        <w:ind w:left="1720" w:hanging="360"/>
      </w:pPr>
      <w:rPr>
        <w:rFonts w:hint="default"/>
      </w:rPr>
    </w:lvl>
    <w:lvl w:ilvl="2" w:tplc="68B2EE70">
      <w:start w:val="1"/>
      <w:numFmt w:val="bullet"/>
      <w:lvlText w:val="•"/>
      <w:lvlJc w:val="left"/>
      <w:pPr>
        <w:ind w:left="2600" w:hanging="360"/>
      </w:pPr>
      <w:rPr>
        <w:rFonts w:hint="default"/>
      </w:rPr>
    </w:lvl>
    <w:lvl w:ilvl="3" w:tplc="F15028E4">
      <w:start w:val="1"/>
      <w:numFmt w:val="bullet"/>
      <w:lvlText w:val="•"/>
      <w:lvlJc w:val="left"/>
      <w:pPr>
        <w:ind w:left="3480" w:hanging="360"/>
      </w:pPr>
      <w:rPr>
        <w:rFonts w:hint="default"/>
      </w:rPr>
    </w:lvl>
    <w:lvl w:ilvl="4" w:tplc="2B82953A">
      <w:start w:val="1"/>
      <w:numFmt w:val="bullet"/>
      <w:lvlText w:val="•"/>
      <w:lvlJc w:val="left"/>
      <w:pPr>
        <w:ind w:left="4360" w:hanging="360"/>
      </w:pPr>
      <w:rPr>
        <w:rFonts w:hint="default"/>
      </w:rPr>
    </w:lvl>
    <w:lvl w:ilvl="5" w:tplc="721AAFE8">
      <w:start w:val="1"/>
      <w:numFmt w:val="bullet"/>
      <w:lvlText w:val="•"/>
      <w:lvlJc w:val="left"/>
      <w:pPr>
        <w:ind w:left="5240" w:hanging="360"/>
      </w:pPr>
      <w:rPr>
        <w:rFonts w:hint="default"/>
      </w:rPr>
    </w:lvl>
    <w:lvl w:ilvl="6" w:tplc="D19CEBD2">
      <w:start w:val="1"/>
      <w:numFmt w:val="bullet"/>
      <w:lvlText w:val="•"/>
      <w:lvlJc w:val="left"/>
      <w:pPr>
        <w:ind w:left="6120" w:hanging="360"/>
      </w:pPr>
      <w:rPr>
        <w:rFonts w:hint="default"/>
      </w:rPr>
    </w:lvl>
    <w:lvl w:ilvl="7" w:tplc="9F8AEBDA">
      <w:start w:val="1"/>
      <w:numFmt w:val="bullet"/>
      <w:lvlText w:val="•"/>
      <w:lvlJc w:val="left"/>
      <w:pPr>
        <w:ind w:left="7000" w:hanging="360"/>
      </w:pPr>
      <w:rPr>
        <w:rFonts w:hint="default"/>
      </w:rPr>
    </w:lvl>
    <w:lvl w:ilvl="8" w:tplc="A9CA1F9C">
      <w:start w:val="1"/>
      <w:numFmt w:val="bullet"/>
      <w:lvlText w:val="•"/>
      <w:lvlJc w:val="left"/>
      <w:pPr>
        <w:ind w:left="7880" w:hanging="360"/>
      </w:pPr>
      <w:rPr>
        <w:rFonts w:hint="default"/>
      </w:rPr>
    </w:lvl>
  </w:abstractNum>
  <w:abstractNum w:abstractNumId="3">
    <w:nsid w:val="00000004"/>
    <w:multiLevelType w:val="hybridMultilevel"/>
    <w:tmpl w:val="076C0D1E"/>
    <w:lvl w:ilvl="0" w:tplc="199AA3EC">
      <w:start w:val="1"/>
      <w:numFmt w:val="decimal"/>
      <w:lvlText w:val="%1."/>
      <w:lvlJc w:val="left"/>
      <w:pPr>
        <w:ind w:left="836" w:hanging="360"/>
      </w:pPr>
      <w:rPr>
        <w:rFonts w:ascii="Times New Roman" w:hAnsi="Times New Roman" w:hint="default"/>
        <w:w w:val="100"/>
        <w:sz w:val="28"/>
        <w:szCs w:val="22"/>
      </w:rPr>
    </w:lvl>
    <w:lvl w:ilvl="1" w:tplc="6528261E">
      <w:start w:val="1"/>
      <w:numFmt w:val="bullet"/>
      <w:lvlText w:val="•"/>
      <w:lvlJc w:val="left"/>
      <w:pPr>
        <w:ind w:left="1722" w:hanging="360"/>
      </w:pPr>
      <w:rPr>
        <w:rFonts w:hint="default"/>
      </w:rPr>
    </w:lvl>
    <w:lvl w:ilvl="2" w:tplc="C498A612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  <w:lvl w:ilvl="3" w:tplc="7C0C7076">
      <w:start w:val="1"/>
      <w:numFmt w:val="bullet"/>
      <w:lvlText w:val="•"/>
      <w:lvlJc w:val="left"/>
      <w:pPr>
        <w:ind w:left="3486" w:hanging="360"/>
      </w:pPr>
      <w:rPr>
        <w:rFonts w:hint="default"/>
      </w:rPr>
    </w:lvl>
    <w:lvl w:ilvl="4" w:tplc="D1A2E5AE">
      <w:start w:val="1"/>
      <w:numFmt w:val="bullet"/>
      <w:lvlText w:val="•"/>
      <w:lvlJc w:val="left"/>
      <w:pPr>
        <w:ind w:left="4368" w:hanging="360"/>
      </w:pPr>
      <w:rPr>
        <w:rFonts w:hint="default"/>
      </w:rPr>
    </w:lvl>
    <w:lvl w:ilvl="5" w:tplc="E1F06C3C">
      <w:start w:val="1"/>
      <w:numFmt w:val="bullet"/>
      <w:lvlText w:val="•"/>
      <w:lvlJc w:val="left"/>
      <w:pPr>
        <w:ind w:left="5250" w:hanging="360"/>
      </w:pPr>
      <w:rPr>
        <w:rFonts w:hint="default"/>
      </w:rPr>
    </w:lvl>
    <w:lvl w:ilvl="6" w:tplc="A69E9D0E">
      <w:start w:val="1"/>
      <w:numFmt w:val="bullet"/>
      <w:lvlText w:val="•"/>
      <w:lvlJc w:val="left"/>
      <w:pPr>
        <w:ind w:left="6132" w:hanging="360"/>
      </w:pPr>
      <w:rPr>
        <w:rFonts w:hint="default"/>
      </w:rPr>
    </w:lvl>
    <w:lvl w:ilvl="7" w:tplc="BD9C9A32">
      <w:start w:val="1"/>
      <w:numFmt w:val="bullet"/>
      <w:lvlText w:val="•"/>
      <w:lvlJc w:val="left"/>
      <w:pPr>
        <w:ind w:left="7014" w:hanging="360"/>
      </w:pPr>
      <w:rPr>
        <w:rFonts w:hint="default"/>
      </w:rPr>
    </w:lvl>
    <w:lvl w:ilvl="8" w:tplc="161470F2">
      <w:start w:val="1"/>
      <w:numFmt w:val="bullet"/>
      <w:lvlText w:val="•"/>
      <w:lvlJc w:val="left"/>
      <w:pPr>
        <w:ind w:left="7896" w:hanging="360"/>
      </w:pPr>
      <w:rPr>
        <w:rFonts w:hint="default"/>
      </w:rPr>
    </w:lvl>
  </w:abstractNum>
  <w:abstractNum w:abstractNumId="4">
    <w:nsid w:val="00EE4885"/>
    <w:multiLevelType w:val="multilevel"/>
    <w:tmpl w:val="BE1CEC4A"/>
    <w:lvl w:ilvl="0">
      <w:start w:val="1"/>
      <w:numFmt w:val="decimal"/>
      <w:lvlText w:val="%1.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2">
      <w:start w:val="1"/>
      <w:numFmt w:val="bullet"/>
      <w:lvlText w:val="●"/>
      <w:lvlJc w:val="left"/>
      <w:pPr>
        <w:ind w:left="836" w:hanging="360"/>
      </w:pPr>
      <w:rPr>
        <w:rFonts w:ascii="Arial" w:eastAsia="Arial" w:hAnsi="Arial" w:hint="default"/>
        <w:w w:val="76"/>
        <w:sz w:val="22"/>
        <w:szCs w:val="22"/>
      </w:rPr>
    </w:lvl>
    <w:lvl w:ilvl="3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5">
    <w:nsid w:val="02DF5E4E"/>
    <w:multiLevelType w:val="multilevel"/>
    <w:tmpl w:val="1F7C5848"/>
    <w:lvl w:ilvl="0">
      <w:start w:val="1"/>
      <w:numFmt w:val="decimal"/>
      <w:lvlText w:val="%1.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836" w:hanging="360"/>
      </w:pPr>
      <w:rPr>
        <w:rFonts w:hint="default"/>
        <w:w w:val="76"/>
        <w:sz w:val="22"/>
        <w:szCs w:val="22"/>
      </w:rPr>
    </w:lvl>
    <w:lvl w:ilvl="3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6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04013A"/>
    <w:multiLevelType w:val="multilevel"/>
    <w:tmpl w:val="79E489F4"/>
    <w:lvl w:ilvl="0">
      <w:start w:val="1"/>
      <w:numFmt w:val="decimal"/>
      <w:lvlText w:val="%1.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2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w w:val="76"/>
        <w:sz w:val="22"/>
        <w:szCs w:val="22"/>
        <w:lang w:val="kk-KZ" w:eastAsia="kk-KZ" w:bidi="kk-KZ"/>
      </w:rPr>
    </w:lvl>
    <w:lvl w:ilvl="3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9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0C0A8F"/>
    <w:multiLevelType w:val="multilevel"/>
    <w:tmpl w:val="67C67E56"/>
    <w:lvl w:ilvl="0">
      <w:start w:val="1"/>
      <w:numFmt w:val="decimal"/>
      <w:lvlText w:val="%1.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836" w:hanging="360"/>
      </w:pPr>
      <w:rPr>
        <w:rFonts w:hint="default"/>
        <w:w w:val="76"/>
        <w:sz w:val="22"/>
        <w:szCs w:val="22"/>
        <w:lang w:val="kk-KZ" w:eastAsia="kk-KZ" w:bidi="kk-KZ"/>
      </w:rPr>
    </w:lvl>
    <w:lvl w:ilvl="3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14">
    <w:nsid w:val="23204696"/>
    <w:multiLevelType w:val="multilevel"/>
    <w:tmpl w:val="41D020A2"/>
    <w:lvl w:ilvl="0">
      <w:start w:val="1"/>
      <w:numFmt w:val="decimal"/>
      <w:lvlText w:val="%1.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836" w:hanging="360"/>
      </w:pPr>
      <w:rPr>
        <w:rFonts w:hint="default"/>
        <w:w w:val="76"/>
        <w:sz w:val="22"/>
        <w:szCs w:val="22"/>
      </w:rPr>
    </w:lvl>
    <w:lvl w:ilvl="3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15">
    <w:nsid w:val="25EC0AE2"/>
    <w:multiLevelType w:val="hybridMultilevel"/>
    <w:tmpl w:val="49800BF2"/>
    <w:lvl w:ilvl="0" w:tplc="B7E67CE0">
      <w:start w:val="1"/>
      <w:numFmt w:val="decimal"/>
      <w:lvlText w:val="%1."/>
      <w:lvlJc w:val="left"/>
      <w:pPr>
        <w:ind w:left="10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7CC6CA0">
      <w:numFmt w:val="bullet"/>
      <w:lvlText w:val="•"/>
      <w:lvlJc w:val="left"/>
      <w:pPr>
        <w:ind w:left="1020" w:hanging="360"/>
      </w:pPr>
      <w:rPr>
        <w:rFonts w:hint="default"/>
      </w:rPr>
    </w:lvl>
    <w:lvl w:ilvl="2" w:tplc="CFFCA5EE">
      <w:numFmt w:val="bullet"/>
      <w:lvlText w:val="•"/>
      <w:lvlJc w:val="left"/>
      <w:pPr>
        <w:ind w:left="1941" w:hanging="360"/>
      </w:pPr>
      <w:rPr>
        <w:rFonts w:hint="default"/>
      </w:rPr>
    </w:lvl>
    <w:lvl w:ilvl="3" w:tplc="0374E9DC">
      <w:numFmt w:val="bullet"/>
      <w:lvlText w:val="•"/>
      <w:lvlJc w:val="left"/>
      <w:pPr>
        <w:ind w:left="2861" w:hanging="360"/>
      </w:pPr>
      <w:rPr>
        <w:rFonts w:hint="default"/>
      </w:rPr>
    </w:lvl>
    <w:lvl w:ilvl="4" w:tplc="60087CA2">
      <w:numFmt w:val="bullet"/>
      <w:lvlText w:val="•"/>
      <w:lvlJc w:val="left"/>
      <w:pPr>
        <w:ind w:left="3782" w:hanging="360"/>
      </w:pPr>
      <w:rPr>
        <w:rFonts w:hint="default"/>
      </w:rPr>
    </w:lvl>
    <w:lvl w:ilvl="5" w:tplc="B34AA342">
      <w:numFmt w:val="bullet"/>
      <w:lvlText w:val="•"/>
      <w:lvlJc w:val="left"/>
      <w:pPr>
        <w:ind w:left="4703" w:hanging="360"/>
      </w:pPr>
      <w:rPr>
        <w:rFonts w:hint="default"/>
      </w:rPr>
    </w:lvl>
    <w:lvl w:ilvl="6" w:tplc="A08C82E0">
      <w:numFmt w:val="bullet"/>
      <w:lvlText w:val="•"/>
      <w:lvlJc w:val="left"/>
      <w:pPr>
        <w:ind w:left="5623" w:hanging="360"/>
      </w:pPr>
      <w:rPr>
        <w:rFonts w:hint="default"/>
      </w:rPr>
    </w:lvl>
    <w:lvl w:ilvl="7" w:tplc="3E20DD36">
      <w:numFmt w:val="bullet"/>
      <w:lvlText w:val="•"/>
      <w:lvlJc w:val="left"/>
      <w:pPr>
        <w:ind w:left="6544" w:hanging="360"/>
      </w:pPr>
      <w:rPr>
        <w:rFonts w:hint="default"/>
      </w:rPr>
    </w:lvl>
    <w:lvl w:ilvl="8" w:tplc="164E29A2">
      <w:numFmt w:val="bullet"/>
      <w:lvlText w:val="•"/>
      <w:lvlJc w:val="left"/>
      <w:pPr>
        <w:ind w:left="7465" w:hanging="360"/>
      </w:pPr>
      <w:rPr>
        <w:rFonts w:hint="default"/>
      </w:rPr>
    </w:lvl>
  </w:abstractNum>
  <w:abstractNum w:abstractNumId="16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D51696"/>
    <w:multiLevelType w:val="multilevel"/>
    <w:tmpl w:val="3F669652"/>
    <w:lvl w:ilvl="0">
      <w:start w:val="1"/>
      <w:numFmt w:val="decimal"/>
      <w:lvlText w:val="%1.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836" w:hanging="360"/>
      </w:pPr>
      <w:rPr>
        <w:rFonts w:hint="default"/>
        <w:w w:val="76"/>
        <w:sz w:val="22"/>
        <w:szCs w:val="22"/>
        <w:lang w:val="kk-KZ" w:eastAsia="kk-KZ" w:bidi="kk-KZ"/>
      </w:rPr>
    </w:lvl>
    <w:lvl w:ilvl="3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20">
    <w:nsid w:val="2F823FE9"/>
    <w:multiLevelType w:val="hybridMultilevel"/>
    <w:tmpl w:val="10A01E2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0416944"/>
    <w:multiLevelType w:val="hybridMultilevel"/>
    <w:tmpl w:val="0560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5332EB"/>
    <w:multiLevelType w:val="hybridMultilevel"/>
    <w:tmpl w:val="21F4F2E8"/>
    <w:lvl w:ilvl="0" w:tplc="4378B9CC">
      <w:numFmt w:val="bullet"/>
      <w:lvlText w:val="-"/>
      <w:lvlJc w:val="left"/>
      <w:pPr>
        <w:ind w:left="102" w:hanging="243"/>
      </w:pPr>
      <w:rPr>
        <w:rFonts w:ascii="Times New Roman" w:eastAsia="Times New Roman" w:hAnsi="Times New Roman" w:cs="Times New Roman" w:hint="default"/>
        <w:i/>
        <w:w w:val="100"/>
        <w:sz w:val="28"/>
        <w:szCs w:val="28"/>
      </w:rPr>
    </w:lvl>
    <w:lvl w:ilvl="1" w:tplc="4D5E662A">
      <w:numFmt w:val="bullet"/>
      <w:lvlText w:val=""/>
      <w:lvlJc w:val="left"/>
      <w:pPr>
        <w:ind w:left="954" w:hanging="492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1F83BEC">
      <w:numFmt w:val="bullet"/>
      <w:lvlText w:val="•"/>
      <w:lvlJc w:val="left"/>
      <w:pPr>
        <w:ind w:left="1885" w:hanging="492"/>
      </w:pPr>
      <w:rPr>
        <w:rFonts w:hint="default"/>
      </w:rPr>
    </w:lvl>
    <w:lvl w:ilvl="3" w:tplc="5F326B7A">
      <w:numFmt w:val="bullet"/>
      <w:lvlText w:val="•"/>
      <w:lvlJc w:val="left"/>
      <w:pPr>
        <w:ind w:left="2810" w:hanging="492"/>
      </w:pPr>
      <w:rPr>
        <w:rFonts w:hint="default"/>
      </w:rPr>
    </w:lvl>
    <w:lvl w:ilvl="4" w:tplc="BB24C7C4">
      <w:numFmt w:val="bullet"/>
      <w:lvlText w:val="•"/>
      <w:lvlJc w:val="left"/>
      <w:pPr>
        <w:ind w:left="3735" w:hanging="492"/>
      </w:pPr>
      <w:rPr>
        <w:rFonts w:hint="default"/>
      </w:rPr>
    </w:lvl>
    <w:lvl w:ilvl="5" w:tplc="4E96523A">
      <w:numFmt w:val="bullet"/>
      <w:lvlText w:val="•"/>
      <w:lvlJc w:val="left"/>
      <w:pPr>
        <w:ind w:left="4660" w:hanging="492"/>
      </w:pPr>
      <w:rPr>
        <w:rFonts w:hint="default"/>
      </w:rPr>
    </w:lvl>
    <w:lvl w:ilvl="6" w:tplc="EB968780">
      <w:numFmt w:val="bullet"/>
      <w:lvlText w:val="•"/>
      <w:lvlJc w:val="left"/>
      <w:pPr>
        <w:ind w:left="5585" w:hanging="492"/>
      </w:pPr>
      <w:rPr>
        <w:rFonts w:hint="default"/>
      </w:rPr>
    </w:lvl>
    <w:lvl w:ilvl="7" w:tplc="DAE292CA">
      <w:numFmt w:val="bullet"/>
      <w:lvlText w:val="•"/>
      <w:lvlJc w:val="left"/>
      <w:pPr>
        <w:ind w:left="6510" w:hanging="492"/>
      </w:pPr>
      <w:rPr>
        <w:rFonts w:hint="default"/>
      </w:rPr>
    </w:lvl>
    <w:lvl w:ilvl="8" w:tplc="D3E8F154">
      <w:numFmt w:val="bullet"/>
      <w:lvlText w:val="•"/>
      <w:lvlJc w:val="left"/>
      <w:pPr>
        <w:ind w:left="7436" w:hanging="492"/>
      </w:pPr>
      <w:rPr>
        <w:rFonts w:hint="default"/>
      </w:rPr>
    </w:lvl>
  </w:abstractNum>
  <w:abstractNum w:abstractNumId="26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D04C16"/>
    <w:multiLevelType w:val="multilevel"/>
    <w:tmpl w:val="4EE03628"/>
    <w:lvl w:ilvl="0">
      <w:start w:val="1"/>
      <w:numFmt w:val="decimal"/>
      <w:lvlText w:val="%1.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836" w:hanging="360"/>
      </w:pPr>
      <w:rPr>
        <w:rFonts w:hint="default"/>
        <w:w w:val="76"/>
        <w:sz w:val="22"/>
        <w:szCs w:val="22"/>
        <w:lang w:val="kk-KZ" w:eastAsia="kk-KZ" w:bidi="kk-KZ"/>
      </w:rPr>
    </w:lvl>
    <w:lvl w:ilvl="3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28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463698"/>
    <w:multiLevelType w:val="multilevel"/>
    <w:tmpl w:val="5CE8AAF4"/>
    <w:lvl w:ilvl="0">
      <w:start w:val="1"/>
      <w:numFmt w:val="decimal"/>
      <w:lvlText w:val="%1.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836" w:hanging="360"/>
      </w:pPr>
      <w:rPr>
        <w:rFonts w:hint="default"/>
        <w:w w:val="76"/>
        <w:sz w:val="22"/>
        <w:szCs w:val="22"/>
        <w:lang w:val="kk-KZ" w:eastAsia="kk-KZ" w:bidi="kk-KZ"/>
      </w:rPr>
    </w:lvl>
    <w:lvl w:ilvl="3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35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813669"/>
    <w:multiLevelType w:val="hybridMultilevel"/>
    <w:tmpl w:val="235AA76A"/>
    <w:lvl w:ilvl="0" w:tplc="F84C2E9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136228"/>
    <w:multiLevelType w:val="multilevel"/>
    <w:tmpl w:val="A4480EEA"/>
    <w:lvl w:ilvl="0">
      <w:start w:val="1"/>
      <w:numFmt w:val="decimal"/>
      <w:lvlText w:val="%1.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822" w:hanging="706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836" w:hanging="360"/>
      </w:pPr>
      <w:rPr>
        <w:rFonts w:hint="default"/>
        <w:w w:val="76"/>
        <w:sz w:val="22"/>
        <w:szCs w:val="22"/>
        <w:lang w:val="kk-KZ" w:eastAsia="kk-KZ" w:bidi="kk-KZ"/>
      </w:rPr>
    </w:lvl>
    <w:lvl w:ilvl="3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8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6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4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0"/>
  </w:num>
  <w:num w:numId="3">
    <w:abstractNumId w:val="9"/>
  </w:num>
  <w:num w:numId="4">
    <w:abstractNumId w:val="33"/>
  </w:num>
  <w:num w:numId="5">
    <w:abstractNumId w:val="41"/>
  </w:num>
  <w:num w:numId="6">
    <w:abstractNumId w:val="12"/>
  </w:num>
  <w:num w:numId="7">
    <w:abstractNumId w:val="37"/>
  </w:num>
  <w:num w:numId="8">
    <w:abstractNumId w:val="17"/>
  </w:num>
  <w:num w:numId="9">
    <w:abstractNumId w:val="30"/>
  </w:num>
  <w:num w:numId="10">
    <w:abstractNumId w:val="18"/>
  </w:num>
  <w:num w:numId="11">
    <w:abstractNumId w:val="29"/>
  </w:num>
  <w:num w:numId="12">
    <w:abstractNumId w:val="32"/>
  </w:num>
  <w:num w:numId="13">
    <w:abstractNumId w:val="35"/>
  </w:num>
  <w:num w:numId="14">
    <w:abstractNumId w:val="24"/>
  </w:num>
  <w:num w:numId="15">
    <w:abstractNumId w:val="6"/>
  </w:num>
  <w:num w:numId="16">
    <w:abstractNumId w:val="40"/>
  </w:num>
  <w:num w:numId="17">
    <w:abstractNumId w:val="28"/>
  </w:num>
  <w:num w:numId="18">
    <w:abstractNumId w:val="26"/>
  </w:num>
  <w:num w:numId="19">
    <w:abstractNumId w:val="16"/>
  </w:num>
  <w:num w:numId="20">
    <w:abstractNumId w:val="7"/>
  </w:num>
  <w:num w:numId="21">
    <w:abstractNumId w:val="22"/>
  </w:num>
  <w:num w:numId="22">
    <w:abstractNumId w:val="11"/>
  </w:num>
  <w:num w:numId="23">
    <w:abstractNumId w:val="36"/>
  </w:num>
  <w:num w:numId="24">
    <w:abstractNumId w:val="23"/>
  </w:num>
  <w:num w:numId="25">
    <w:abstractNumId w:val="21"/>
  </w:num>
  <w:num w:numId="26">
    <w:abstractNumId w:val="38"/>
  </w:num>
  <w:num w:numId="27">
    <w:abstractNumId w:val="20"/>
  </w:num>
  <w:num w:numId="28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15"/>
  </w:num>
  <w:num w:numId="30">
    <w:abstractNumId w:val="25"/>
  </w:num>
  <w:num w:numId="31">
    <w:abstractNumId w:val="4"/>
  </w:num>
  <w:num w:numId="32">
    <w:abstractNumId w:val="3"/>
  </w:num>
  <w:num w:numId="33">
    <w:abstractNumId w:val="1"/>
  </w:num>
  <w:num w:numId="34">
    <w:abstractNumId w:val="2"/>
  </w:num>
  <w:num w:numId="35">
    <w:abstractNumId w:val="14"/>
  </w:num>
  <w:num w:numId="36">
    <w:abstractNumId w:val="39"/>
  </w:num>
  <w:num w:numId="37">
    <w:abstractNumId w:val="8"/>
  </w:num>
  <w:num w:numId="38">
    <w:abstractNumId w:val="27"/>
  </w:num>
  <w:num w:numId="39">
    <w:abstractNumId w:val="34"/>
  </w:num>
  <w:num w:numId="40">
    <w:abstractNumId w:val="19"/>
  </w:num>
  <w:num w:numId="41">
    <w:abstractNumId w:val="5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48"/>
    <w:rsid w:val="00010371"/>
    <w:rsid w:val="000264BB"/>
    <w:rsid w:val="0003398B"/>
    <w:rsid w:val="00033FC1"/>
    <w:rsid w:val="00042999"/>
    <w:rsid w:val="00046CF7"/>
    <w:rsid w:val="000852A1"/>
    <w:rsid w:val="000972E6"/>
    <w:rsid w:val="000978BE"/>
    <w:rsid w:val="000A0D71"/>
    <w:rsid w:val="000A6886"/>
    <w:rsid w:val="000B44CB"/>
    <w:rsid w:val="000C2C4B"/>
    <w:rsid w:val="000C4C48"/>
    <w:rsid w:val="000E01AB"/>
    <w:rsid w:val="000E2683"/>
    <w:rsid w:val="000E2720"/>
    <w:rsid w:val="000E49F0"/>
    <w:rsid w:val="000E6126"/>
    <w:rsid w:val="00100406"/>
    <w:rsid w:val="00107A8A"/>
    <w:rsid w:val="00111788"/>
    <w:rsid w:val="00120133"/>
    <w:rsid w:val="00123154"/>
    <w:rsid w:val="001264B2"/>
    <w:rsid w:val="001325EA"/>
    <w:rsid w:val="00132B9A"/>
    <w:rsid w:val="001368AE"/>
    <w:rsid w:val="00144CCD"/>
    <w:rsid w:val="0014739A"/>
    <w:rsid w:val="00151233"/>
    <w:rsid w:val="0015490C"/>
    <w:rsid w:val="001573E2"/>
    <w:rsid w:val="0016278D"/>
    <w:rsid w:val="001937AD"/>
    <w:rsid w:val="001A2CB2"/>
    <w:rsid w:val="001A662C"/>
    <w:rsid w:val="001B6AEC"/>
    <w:rsid w:val="001D0032"/>
    <w:rsid w:val="001D7B7F"/>
    <w:rsid w:val="001E14C9"/>
    <w:rsid w:val="001E6F4C"/>
    <w:rsid w:val="001F16AA"/>
    <w:rsid w:val="001F7A20"/>
    <w:rsid w:val="00203355"/>
    <w:rsid w:val="00211005"/>
    <w:rsid w:val="00217D41"/>
    <w:rsid w:val="00222CA6"/>
    <w:rsid w:val="00232642"/>
    <w:rsid w:val="00234120"/>
    <w:rsid w:val="00237697"/>
    <w:rsid w:val="00250EDB"/>
    <w:rsid w:val="00256E10"/>
    <w:rsid w:val="00260413"/>
    <w:rsid w:val="00260EBC"/>
    <w:rsid w:val="00264710"/>
    <w:rsid w:val="00267567"/>
    <w:rsid w:val="00270B0A"/>
    <w:rsid w:val="00271B94"/>
    <w:rsid w:val="00277C22"/>
    <w:rsid w:val="00281FBE"/>
    <w:rsid w:val="00290D2E"/>
    <w:rsid w:val="00292715"/>
    <w:rsid w:val="002A591C"/>
    <w:rsid w:val="002B3270"/>
    <w:rsid w:val="002B7436"/>
    <w:rsid w:val="002C10E1"/>
    <w:rsid w:val="002C15EB"/>
    <w:rsid w:val="002C1660"/>
    <w:rsid w:val="002C35A2"/>
    <w:rsid w:val="002C5345"/>
    <w:rsid w:val="002C76D7"/>
    <w:rsid w:val="002D56B7"/>
    <w:rsid w:val="002D5F50"/>
    <w:rsid w:val="002E0BAD"/>
    <w:rsid w:val="002F4A14"/>
    <w:rsid w:val="00302607"/>
    <w:rsid w:val="003043BF"/>
    <w:rsid w:val="00304AFC"/>
    <w:rsid w:val="00320073"/>
    <w:rsid w:val="003262DF"/>
    <w:rsid w:val="0036288F"/>
    <w:rsid w:val="00365B10"/>
    <w:rsid w:val="003662F1"/>
    <w:rsid w:val="00367BA7"/>
    <w:rsid w:val="00370933"/>
    <w:rsid w:val="003761C0"/>
    <w:rsid w:val="003812B2"/>
    <w:rsid w:val="00383CDB"/>
    <w:rsid w:val="00384F08"/>
    <w:rsid w:val="00386568"/>
    <w:rsid w:val="003879F9"/>
    <w:rsid w:val="00396687"/>
    <w:rsid w:val="003A035E"/>
    <w:rsid w:val="003A28C0"/>
    <w:rsid w:val="003A72B9"/>
    <w:rsid w:val="003B0285"/>
    <w:rsid w:val="003E13CF"/>
    <w:rsid w:val="003F5344"/>
    <w:rsid w:val="003F7EDC"/>
    <w:rsid w:val="00404548"/>
    <w:rsid w:val="0041162E"/>
    <w:rsid w:val="00421070"/>
    <w:rsid w:val="0042786D"/>
    <w:rsid w:val="00433C62"/>
    <w:rsid w:val="004344CD"/>
    <w:rsid w:val="00434D01"/>
    <w:rsid w:val="00464CAA"/>
    <w:rsid w:val="00471A14"/>
    <w:rsid w:val="00472EF5"/>
    <w:rsid w:val="0048687C"/>
    <w:rsid w:val="004A31B4"/>
    <w:rsid w:val="004C1922"/>
    <w:rsid w:val="004C462F"/>
    <w:rsid w:val="004D49E9"/>
    <w:rsid w:val="00506851"/>
    <w:rsid w:val="005071DA"/>
    <w:rsid w:val="0051132F"/>
    <w:rsid w:val="00512C02"/>
    <w:rsid w:val="00523D82"/>
    <w:rsid w:val="00526906"/>
    <w:rsid w:val="00541A00"/>
    <w:rsid w:val="005444B2"/>
    <w:rsid w:val="00552F8B"/>
    <w:rsid w:val="00561FE7"/>
    <w:rsid w:val="00564994"/>
    <w:rsid w:val="00572450"/>
    <w:rsid w:val="00575348"/>
    <w:rsid w:val="005779DE"/>
    <w:rsid w:val="005869C5"/>
    <w:rsid w:val="005A3C81"/>
    <w:rsid w:val="005A5680"/>
    <w:rsid w:val="005A6639"/>
    <w:rsid w:val="005A6914"/>
    <w:rsid w:val="005B3FFE"/>
    <w:rsid w:val="005C1519"/>
    <w:rsid w:val="005C1C4E"/>
    <w:rsid w:val="005C4A16"/>
    <w:rsid w:val="005C4B12"/>
    <w:rsid w:val="005C5740"/>
    <w:rsid w:val="005D2A7D"/>
    <w:rsid w:val="005D68C6"/>
    <w:rsid w:val="005D7EE3"/>
    <w:rsid w:val="005E50DE"/>
    <w:rsid w:val="005F7097"/>
    <w:rsid w:val="0060364A"/>
    <w:rsid w:val="0061650D"/>
    <w:rsid w:val="00617843"/>
    <w:rsid w:val="00620F34"/>
    <w:rsid w:val="006232ED"/>
    <w:rsid w:val="0062350E"/>
    <w:rsid w:val="00624C1B"/>
    <w:rsid w:val="00625471"/>
    <w:rsid w:val="00627853"/>
    <w:rsid w:val="00632E2A"/>
    <w:rsid w:val="006346C5"/>
    <w:rsid w:val="00634D0C"/>
    <w:rsid w:val="00652BCE"/>
    <w:rsid w:val="00652E29"/>
    <w:rsid w:val="00653617"/>
    <w:rsid w:val="006609B3"/>
    <w:rsid w:val="00663E1B"/>
    <w:rsid w:val="006703A5"/>
    <w:rsid w:val="0067136B"/>
    <w:rsid w:val="006764A0"/>
    <w:rsid w:val="00691208"/>
    <w:rsid w:val="00693014"/>
    <w:rsid w:val="006A2204"/>
    <w:rsid w:val="006A23C4"/>
    <w:rsid w:val="006A702E"/>
    <w:rsid w:val="006B7A90"/>
    <w:rsid w:val="006C577B"/>
    <w:rsid w:val="006C5F38"/>
    <w:rsid w:val="006C6558"/>
    <w:rsid w:val="006D7D5A"/>
    <w:rsid w:val="006E4305"/>
    <w:rsid w:val="006F5763"/>
    <w:rsid w:val="00704BAB"/>
    <w:rsid w:val="007104D1"/>
    <w:rsid w:val="007135A6"/>
    <w:rsid w:val="007209FD"/>
    <w:rsid w:val="00727C60"/>
    <w:rsid w:val="00732F32"/>
    <w:rsid w:val="00733A73"/>
    <w:rsid w:val="00736B6C"/>
    <w:rsid w:val="00744AC3"/>
    <w:rsid w:val="00745CFF"/>
    <w:rsid w:val="00746FF2"/>
    <w:rsid w:val="00760690"/>
    <w:rsid w:val="00761133"/>
    <w:rsid w:val="00764E84"/>
    <w:rsid w:val="007664EE"/>
    <w:rsid w:val="007762F8"/>
    <w:rsid w:val="00783520"/>
    <w:rsid w:val="007A02D3"/>
    <w:rsid w:val="007A18B1"/>
    <w:rsid w:val="007C055A"/>
    <w:rsid w:val="007C1693"/>
    <w:rsid w:val="007C44D2"/>
    <w:rsid w:val="007D0E84"/>
    <w:rsid w:val="007D3803"/>
    <w:rsid w:val="007D681B"/>
    <w:rsid w:val="007E1D85"/>
    <w:rsid w:val="007E702A"/>
    <w:rsid w:val="00803108"/>
    <w:rsid w:val="00805A72"/>
    <w:rsid w:val="0081154A"/>
    <w:rsid w:val="00820B36"/>
    <w:rsid w:val="00827BB2"/>
    <w:rsid w:val="008329DA"/>
    <w:rsid w:val="008330E7"/>
    <w:rsid w:val="008353A4"/>
    <w:rsid w:val="008372C6"/>
    <w:rsid w:val="00844CE8"/>
    <w:rsid w:val="00847154"/>
    <w:rsid w:val="008563DF"/>
    <w:rsid w:val="0086657B"/>
    <w:rsid w:val="008832E5"/>
    <w:rsid w:val="00897669"/>
    <w:rsid w:val="008C0181"/>
    <w:rsid w:val="008C4AB9"/>
    <w:rsid w:val="008D4451"/>
    <w:rsid w:val="008D62B7"/>
    <w:rsid w:val="008E6895"/>
    <w:rsid w:val="00900B3C"/>
    <w:rsid w:val="00904FB5"/>
    <w:rsid w:val="0091136C"/>
    <w:rsid w:val="009157ED"/>
    <w:rsid w:val="0092655B"/>
    <w:rsid w:val="00930D7D"/>
    <w:rsid w:val="0095047E"/>
    <w:rsid w:val="00956101"/>
    <w:rsid w:val="00962CD6"/>
    <w:rsid w:val="00993A60"/>
    <w:rsid w:val="00996AA3"/>
    <w:rsid w:val="00996F90"/>
    <w:rsid w:val="009B014E"/>
    <w:rsid w:val="009D71D5"/>
    <w:rsid w:val="009E2887"/>
    <w:rsid w:val="009E5CB9"/>
    <w:rsid w:val="009E6B09"/>
    <w:rsid w:val="009F31F2"/>
    <w:rsid w:val="009F45A5"/>
    <w:rsid w:val="00A01C2E"/>
    <w:rsid w:val="00A02BB2"/>
    <w:rsid w:val="00A04052"/>
    <w:rsid w:val="00A12563"/>
    <w:rsid w:val="00A30BE6"/>
    <w:rsid w:val="00A352D8"/>
    <w:rsid w:val="00A625E7"/>
    <w:rsid w:val="00A8185B"/>
    <w:rsid w:val="00A961E3"/>
    <w:rsid w:val="00AA574B"/>
    <w:rsid w:val="00AA5E2F"/>
    <w:rsid w:val="00AA7317"/>
    <w:rsid w:val="00AB6C1C"/>
    <w:rsid w:val="00AC2C0B"/>
    <w:rsid w:val="00AC4905"/>
    <w:rsid w:val="00AD7C0B"/>
    <w:rsid w:val="00AE7922"/>
    <w:rsid w:val="00B01011"/>
    <w:rsid w:val="00B11878"/>
    <w:rsid w:val="00B2397A"/>
    <w:rsid w:val="00B46F30"/>
    <w:rsid w:val="00B608C1"/>
    <w:rsid w:val="00B60D3D"/>
    <w:rsid w:val="00B61D95"/>
    <w:rsid w:val="00B90B26"/>
    <w:rsid w:val="00B9187F"/>
    <w:rsid w:val="00BB2A18"/>
    <w:rsid w:val="00BB3050"/>
    <w:rsid w:val="00BB7831"/>
    <w:rsid w:val="00BC31BC"/>
    <w:rsid w:val="00BC6167"/>
    <w:rsid w:val="00BE4435"/>
    <w:rsid w:val="00BE6B71"/>
    <w:rsid w:val="00C07BB3"/>
    <w:rsid w:val="00C2000E"/>
    <w:rsid w:val="00C2664F"/>
    <w:rsid w:val="00C379C9"/>
    <w:rsid w:val="00C422B8"/>
    <w:rsid w:val="00C566D6"/>
    <w:rsid w:val="00C75ED7"/>
    <w:rsid w:val="00C839ED"/>
    <w:rsid w:val="00C84299"/>
    <w:rsid w:val="00C92F14"/>
    <w:rsid w:val="00C9308C"/>
    <w:rsid w:val="00C97365"/>
    <w:rsid w:val="00CB6038"/>
    <w:rsid w:val="00CC08BA"/>
    <w:rsid w:val="00CC330A"/>
    <w:rsid w:val="00CC5727"/>
    <w:rsid w:val="00CC7DBD"/>
    <w:rsid w:val="00CF3849"/>
    <w:rsid w:val="00D0233C"/>
    <w:rsid w:val="00D066FC"/>
    <w:rsid w:val="00D11462"/>
    <w:rsid w:val="00D1346F"/>
    <w:rsid w:val="00D14D61"/>
    <w:rsid w:val="00D215A2"/>
    <w:rsid w:val="00D21A67"/>
    <w:rsid w:val="00D22A47"/>
    <w:rsid w:val="00D26339"/>
    <w:rsid w:val="00D275FC"/>
    <w:rsid w:val="00D3576E"/>
    <w:rsid w:val="00D36C60"/>
    <w:rsid w:val="00D43297"/>
    <w:rsid w:val="00D46B0B"/>
    <w:rsid w:val="00D52A25"/>
    <w:rsid w:val="00D55ED8"/>
    <w:rsid w:val="00D62404"/>
    <w:rsid w:val="00D70DB6"/>
    <w:rsid w:val="00D76048"/>
    <w:rsid w:val="00D80650"/>
    <w:rsid w:val="00D867EE"/>
    <w:rsid w:val="00D92E52"/>
    <w:rsid w:val="00D93C80"/>
    <w:rsid w:val="00D94312"/>
    <w:rsid w:val="00D96A8F"/>
    <w:rsid w:val="00DA6F07"/>
    <w:rsid w:val="00DB406A"/>
    <w:rsid w:val="00DF11A7"/>
    <w:rsid w:val="00DF48A6"/>
    <w:rsid w:val="00E12FC7"/>
    <w:rsid w:val="00E271CB"/>
    <w:rsid w:val="00E34FE3"/>
    <w:rsid w:val="00E3542E"/>
    <w:rsid w:val="00E365DE"/>
    <w:rsid w:val="00E4661C"/>
    <w:rsid w:val="00E5111E"/>
    <w:rsid w:val="00E55D6C"/>
    <w:rsid w:val="00E57396"/>
    <w:rsid w:val="00E81A1B"/>
    <w:rsid w:val="00E81A86"/>
    <w:rsid w:val="00E8607B"/>
    <w:rsid w:val="00E90FCC"/>
    <w:rsid w:val="00E91073"/>
    <w:rsid w:val="00E93583"/>
    <w:rsid w:val="00EA2F86"/>
    <w:rsid w:val="00EA6D39"/>
    <w:rsid w:val="00EB0CFB"/>
    <w:rsid w:val="00EB1D97"/>
    <w:rsid w:val="00EE028E"/>
    <w:rsid w:val="00EF4C53"/>
    <w:rsid w:val="00EF5B5B"/>
    <w:rsid w:val="00F006F1"/>
    <w:rsid w:val="00F07B7B"/>
    <w:rsid w:val="00F148F4"/>
    <w:rsid w:val="00F23B95"/>
    <w:rsid w:val="00F40388"/>
    <w:rsid w:val="00F41CEC"/>
    <w:rsid w:val="00F63389"/>
    <w:rsid w:val="00F850FD"/>
    <w:rsid w:val="00F8747E"/>
    <w:rsid w:val="00F91977"/>
    <w:rsid w:val="00F93634"/>
    <w:rsid w:val="00F97B57"/>
    <w:rsid w:val="00FA4F7C"/>
    <w:rsid w:val="00FB0456"/>
    <w:rsid w:val="00FB47F4"/>
    <w:rsid w:val="00FD2B12"/>
    <w:rsid w:val="00FD2B9F"/>
    <w:rsid w:val="00FE566D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AE3BF6"/>
  <w15:docId w15:val="{C062C3DA-6903-4D67-B60F-353FF283E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0"/>
    <w:next w:val="a0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75ED7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4">
    <w:name w:val="Normal (Web)"/>
    <w:basedOn w:val="a0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lock Text"/>
    <w:basedOn w:val="a0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8">
    <w:name w:val="Body Text Indent"/>
    <w:basedOn w:val="a0"/>
    <w:link w:val="a9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link w:val="a8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0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a">
    <w:name w:val="Body Text"/>
    <w:basedOn w:val="a0"/>
    <w:link w:val="ab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link w:val="aa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List Paragraph"/>
    <w:basedOn w:val="a0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0"/>
    <w:next w:val="a0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d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0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0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e">
    <w:name w:val="Subtitle"/>
    <w:basedOn w:val="a0"/>
    <w:link w:val="af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f">
    <w:name w:val="Подзаголовок Знак"/>
    <w:link w:val="ae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0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0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1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2">
    <w:name w:val="header"/>
    <w:basedOn w:val="a0"/>
    <w:link w:val="af3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rsid w:val="00D275FC"/>
    <w:rPr>
      <w:lang w:val="ru-RU"/>
    </w:rPr>
  </w:style>
  <w:style w:type="paragraph" w:styleId="af4">
    <w:name w:val="footer"/>
    <w:basedOn w:val="a0"/>
    <w:link w:val="af5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rsid w:val="00D275FC"/>
    <w:rPr>
      <w:lang w:val="ru-RU"/>
    </w:rPr>
  </w:style>
  <w:style w:type="paragraph" w:styleId="af6">
    <w:name w:val="Title"/>
    <w:basedOn w:val="a0"/>
    <w:next w:val="a0"/>
    <w:link w:val="af7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7">
    <w:name w:val="Название Знак"/>
    <w:link w:val="af6"/>
    <w:uiPriority w:val="10"/>
    <w:rsid w:val="00900B3C"/>
    <w:rPr>
      <w:rFonts w:ascii="Consolas" w:eastAsia="Consolas" w:hAnsi="Consolas" w:cs="Consolas"/>
    </w:rPr>
  </w:style>
  <w:style w:type="character" w:styleId="af8">
    <w:name w:val="annotation reference"/>
    <w:rsid w:val="007D0E84"/>
    <w:rPr>
      <w:sz w:val="16"/>
      <w:szCs w:val="16"/>
    </w:rPr>
  </w:style>
  <w:style w:type="paragraph" w:styleId="af9">
    <w:name w:val="annotation text"/>
    <w:basedOn w:val="a0"/>
    <w:link w:val="afa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a">
    <w:name w:val="Текст примечания Знак"/>
    <w:link w:val="af9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ConsPlusNormal">
    <w:name w:val="ConsPlusNormal"/>
    <w:rsid w:val="002C76D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21">
    <w:name w:val="Body Text 2"/>
    <w:basedOn w:val="a0"/>
    <w:link w:val="22"/>
    <w:uiPriority w:val="99"/>
    <w:semiHidden/>
    <w:unhideWhenUsed/>
    <w:rsid w:val="00F8747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F8747E"/>
    <w:rPr>
      <w:sz w:val="22"/>
      <w:szCs w:val="22"/>
      <w:lang w:eastAsia="en-US"/>
    </w:rPr>
  </w:style>
  <w:style w:type="paragraph" w:styleId="a">
    <w:name w:val="List Bullet"/>
    <w:basedOn w:val="a0"/>
    <w:autoRedefine/>
    <w:unhideWhenUsed/>
    <w:rsid w:val="007C44D2"/>
    <w:pPr>
      <w:keepNext/>
      <w:numPr>
        <w:numId w:val="26"/>
      </w:numPr>
      <w:spacing w:after="0" w:line="240" w:lineRule="auto"/>
      <w:jc w:val="both"/>
    </w:pPr>
    <w:rPr>
      <w:rFonts w:ascii="Times New Roman" w:eastAsia="Times New Roman" w:hAnsi="Times New Roman"/>
      <w:i/>
      <w:sz w:val="28"/>
      <w:szCs w:val="28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20133"/>
    <w:pPr>
      <w:spacing w:after="200" w:line="276" w:lineRule="auto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c">
    <w:name w:val="Тема примечания Знак"/>
    <w:link w:val="afb"/>
    <w:uiPriority w:val="99"/>
    <w:semiHidden/>
    <w:rsid w:val="00120133"/>
    <w:rPr>
      <w:rFonts w:ascii="Times New Roman" w:eastAsia="Times New Roman" w:hAnsi="Times New Roman" w:cs="Arial Unicode MS"/>
      <w:b/>
      <w:bCs/>
      <w:lang w:val="en-GB" w:eastAsia="en-US" w:bidi="ml-IN"/>
    </w:rPr>
  </w:style>
  <w:style w:type="paragraph" w:customStyle="1" w:styleId="SPCNormal">
    <w:name w:val="SPC Normal"/>
    <w:basedOn w:val="a0"/>
    <w:rsid w:val="000978BE"/>
    <w:pPr>
      <w:tabs>
        <w:tab w:val="left" w:pos="562"/>
      </w:tabs>
      <w:spacing w:after="0" w:line="240" w:lineRule="auto"/>
    </w:pPr>
    <w:rPr>
      <w:rFonts w:ascii="Times New Roman" w:eastAsia="Times New Roman" w:hAnsi="Times New Roman"/>
      <w:szCs w:val="20"/>
      <w:lang w:val="en-GB"/>
    </w:rPr>
  </w:style>
  <w:style w:type="paragraph" w:styleId="afd">
    <w:name w:val="footnote text"/>
    <w:basedOn w:val="a0"/>
    <w:link w:val="afe"/>
    <w:uiPriority w:val="99"/>
    <w:semiHidden/>
    <w:unhideWhenUsed/>
    <w:rsid w:val="00C75ED7"/>
    <w:pPr>
      <w:spacing w:after="0" w:line="240" w:lineRule="auto"/>
    </w:pPr>
    <w:rPr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sid w:val="00C75ED7"/>
    <w:rPr>
      <w:lang w:eastAsia="en-US"/>
    </w:rPr>
  </w:style>
  <w:style w:type="character" w:styleId="aff">
    <w:name w:val="footnote reference"/>
    <w:basedOn w:val="a1"/>
    <w:uiPriority w:val="99"/>
    <w:semiHidden/>
    <w:unhideWhenUsed/>
    <w:rsid w:val="00C75ED7"/>
    <w:rPr>
      <w:vertAlign w:val="superscript"/>
    </w:rPr>
  </w:style>
  <w:style w:type="character" w:customStyle="1" w:styleId="50">
    <w:name w:val="Заголовок 5 Знак"/>
    <w:basedOn w:val="a1"/>
    <w:link w:val="5"/>
    <w:uiPriority w:val="9"/>
    <w:semiHidden/>
    <w:rsid w:val="00C75ED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berlin-chemie.d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aesfarma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dda.k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zakhstan@berlin-chemi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6F65F0FFDC7F4EBFEB0AC79CCDB075" ma:contentTypeVersion="15" ma:contentTypeDescription="Crear nuevo documento." ma:contentTypeScope="" ma:versionID="fab5a2e77260c9289bb1e517c988b7cf">
  <xsd:schema xmlns:xsd="http://www.w3.org/2001/XMLSchema" xmlns:xs="http://www.w3.org/2001/XMLSchema" xmlns:p="http://schemas.microsoft.com/office/2006/metadata/properties" xmlns:ns2="c09d3e2d-bd08-4f57-abe4-7203bb2c01aa" xmlns:ns3="a5093171-d782-497c-96e6-3fe6271883a4" targetNamespace="http://schemas.microsoft.com/office/2006/metadata/properties" ma:root="true" ma:fieldsID="f9d9ca98a11ced5c3b763b72c8287e28" ns2:_="" ns3:_="">
    <xsd:import namespace="c09d3e2d-bd08-4f57-abe4-7203bb2c01aa"/>
    <xsd:import namespace="a5093171-d782-497c-96e6-3fe6271883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d3e2d-bd08-4f57-abe4-7203bb2c0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236b1b9-c086-4f0f-b9c4-9b95773a18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093171-d782-497c-96e6-3fe6271883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7bc15ca-cbba-4883-a2b3-8680ca3be290}" ma:internalName="TaxCatchAll" ma:readOnly="false" ma:showField="CatchAllData" ma:web="a5093171-d782-497c-96e6-3fe6271883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9d3e2d-bd08-4f57-abe4-7203bb2c01aa">
      <Terms xmlns="http://schemas.microsoft.com/office/infopath/2007/PartnerControls"/>
    </lcf76f155ced4ddcb4097134ff3c332f>
    <TaxCatchAll xmlns="a5093171-d782-497c-96e6-3fe6271883a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1A887-4B36-4A4F-B9ED-DB3EE290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d3e2d-bd08-4f57-abe4-7203bb2c01aa"/>
    <ds:schemaRef ds:uri="a5093171-d782-497c-96e6-3fe6271883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8F3117-31A7-415B-B14F-E005295194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B43A9-C246-41CB-B1F7-263AD9D9C6FF}">
  <ds:schemaRefs>
    <ds:schemaRef ds:uri="http://schemas.microsoft.com/office/2006/metadata/properties"/>
    <ds:schemaRef ds:uri="http://schemas.microsoft.com/office/infopath/2007/PartnerControls"/>
    <ds:schemaRef ds:uri="c09d3e2d-bd08-4f57-abe4-7203bb2c01aa"/>
    <ds:schemaRef ds:uri="a5093171-d782-497c-96e6-3fe6271883a4"/>
  </ds:schemaRefs>
</ds:datastoreItem>
</file>

<file path=customXml/itemProps4.xml><?xml version="1.0" encoding="utf-8"?>
<ds:datastoreItem xmlns:ds="http://schemas.openxmlformats.org/officeDocument/2006/customXml" ds:itemID="{AE1FE6CA-0A84-4343-AAB8-D78E3D44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3096</Words>
  <Characters>17651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20706</CharactersWithSpaces>
  <SharedDoc>false</SharedDoc>
  <HLinks>
    <vt:vector size="6" baseType="variant"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Kulyash Kussainova</dc:creator>
  <cp:lastModifiedBy>Акнур А. Шеризатова</cp:lastModifiedBy>
  <cp:revision>2</cp:revision>
  <cp:lastPrinted>2025-07-30T10:05:00Z</cp:lastPrinted>
  <dcterms:created xsi:type="dcterms:W3CDTF">2026-01-23T10:56:00Z</dcterms:created>
  <dcterms:modified xsi:type="dcterms:W3CDTF">2026-01-23T10:56:00Z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0x010100416F65F0FFDC7F4EBFEB0AC79CCDB075</vt:lpwstr>
  </property>
</Properties>
</file>